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AA950" w14:textId="77777777" w:rsidR="00856787" w:rsidRDefault="00B53AD7">
      <w:pPr>
        <w:rPr>
          <w:sz w:val="22"/>
          <w:szCs w:val="22"/>
          <w:lang w:val="fr-FR"/>
        </w:rPr>
      </w:pPr>
      <w:bookmarkStart w:id="0" w:name="_GoBack"/>
      <w:bookmarkEnd w:id="0"/>
      <w:r>
        <w:rPr>
          <w:sz w:val="22"/>
          <w:szCs w:val="22"/>
          <w:lang w:val="fr-CA"/>
        </w:rPr>
        <w:t>X juin 2021</w:t>
      </w:r>
    </w:p>
    <w:p w14:paraId="19EE4F3C" w14:textId="77777777" w:rsidR="00856787" w:rsidRDefault="00856787">
      <w:pPr>
        <w:rPr>
          <w:sz w:val="22"/>
          <w:szCs w:val="22"/>
          <w:lang w:val="fr-FR"/>
        </w:rPr>
      </w:pPr>
    </w:p>
    <w:p w14:paraId="66627D39" w14:textId="77777777" w:rsidR="00856787" w:rsidRDefault="00B53AD7">
      <w:pPr>
        <w:rPr>
          <w:sz w:val="22"/>
          <w:szCs w:val="22"/>
          <w:lang w:val="fr-FR"/>
        </w:rPr>
      </w:pPr>
      <w:r>
        <w:rPr>
          <w:sz w:val="22"/>
          <w:szCs w:val="22"/>
          <w:lang w:val="fr-CA"/>
        </w:rPr>
        <w:t>Chère cliente/Cher client,</w:t>
      </w:r>
    </w:p>
    <w:p w14:paraId="6B6AD809" w14:textId="77777777" w:rsidR="00856787" w:rsidRDefault="00856787">
      <w:pPr>
        <w:rPr>
          <w:sz w:val="22"/>
          <w:szCs w:val="22"/>
          <w:lang w:val="fr-FR"/>
        </w:rPr>
      </w:pPr>
    </w:p>
    <w:p w14:paraId="7CEEB36C" w14:textId="77777777" w:rsidR="00856787" w:rsidRDefault="00B53AD7">
      <w:pPr>
        <w:rPr>
          <w:sz w:val="22"/>
          <w:szCs w:val="22"/>
          <w:lang w:val="fr-FR"/>
        </w:rPr>
      </w:pPr>
      <w:r>
        <w:rPr>
          <w:sz w:val="22"/>
          <w:szCs w:val="22"/>
          <w:lang w:val="fr-CA"/>
        </w:rPr>
        <w:t>La pandémie mondiale a changé la vie des Canadiens de plusieurs façons. L’isolement qui continue dans de plusieurs régions du pays met à rude épreuve même les plus patients d’entre nous. Il y a cependant quelques bonnes nouvelles. En voici une qui a des répercussions positives dans tout le pays, tant du point de vue des affaires que de la santé.</w:t>
      </w:r>
    </w:p>
    <w:p w14:paraId="6C6634A3" w14:textId="77777777" w:rsidR="00856787" w:rsidRDefault="00856787">
      <w:pPr>
        <w:rPr>
          <w:sz w:val="22"/>
          <w:szCs w:val="22"/>
          <w:lang w:val="fr-FR"/>
        </w:rPr>
      </w:pPr>
    </w:p>
    <w:p w14:paraId="27FE3B8A" w14:textId="77777777" w:rsidR="00856787" w:rsidRDefault="00B53AD7">
      <w:pPr>
        <w:rPr>
          <w:sz w:val="22"/>
          <w:szCs w:val="22"/>
          <w:lang w:val="fr-FR"/>
        </w:rPr>
      </w:pPr>
      <w:r>
        <w:rPr>
          <w:sz w:val="22"/>
          <w:szCs w:val="22"/>
          <w:lang w:val="fr-CA"/>
        </w:rPr>
        <w:t xml:space="preserve">Un café, à Toronto, a dernièrement signalé une énorme augmentation des demandes des clients pour les lattes à base de lait d’avoine et les blancs plats. La commande de lait d’avoine du magasin commence à rivaliser en importance avec la commande de lait de vache. La tendance mondiale vers les laits à base de plantes dure depuis des années et le Canada est sur le point de profiter du plus récent favori à base de plantes. Lait d’avoine. </w:t>
      </w:r>
    </w:p>
    <w:p w14:paraId="5F3EED61" w14:textId="77777777" w:rsidR="00856787" w:rsidRDefault="00856787">
      <w:pPr>
        <w:rPr>
          <w:sz w:val="22"/>
          <w:szCs w:val="22"/>
          <w:lang w:val="fr-FR"/>
        </w:rPr>
      </w:pPr>
    </w:p>
    <w:p w14:paraId="0C2590B0" w14:textId="77777777" w:rsidR="00856787" w:rsidRDefault="00B53AD7">
      <w:pPr>
        <w:rPr>
          <w:sz w:val="22"/>
          <w:szCs w:val="22"/>
          <w:lang w:val="fr-FR"/>
        </w:rPr>
      </w:pPr>
      <w:r>
        <w:rPr>
          <w:sz w:val="22"/>
          <w:szCs w:val="22"/>
          <w:lang w:val="fr-CA"/>
        </w:rPr>
        <w:t xml:space="preserve">Le Canada est l’un des principaux producteurs d’avoine au monde et les projections d’exportation de 2021 pour la récolte d’avoine affichent le record le plus élevé. Les commandes affluent du monde entier et c’est une excellente nouvelle pour les agriculteurs, les usines de transformation et les entreprises canadiennes possédant une expertise acquise dans la production de laits à base de soja qui sont tous prêts à en profiter. </w:t>
      </w:r>
    </w:p>
    <w:p w14:paraId="182C5960" w14:textId="77777777" w:rsidR="00856787" w:rsidRDefault="00856787">
      <w:pPr>
        <w:rPr>
          <w:sz w:val="22"/>
          <w:szCs w:val="22"/>
          <w:lang w:val="fr-FR"/>
        </w:rPr>
      </w:pPr>
    </w:p>
    <w:p w14:paraId="786D7C82" w14:textId="77777777" w:rsidR="00856787" w:rsidRDefault="00B53AD7">
      <w:pPr>
        <w:pStyle w:val="NormalWeb"/>
        <w:shd w:val="clear" w:color="auto" w:fill="FFFFFF"/>
        <w:spacing w:before="0" w:beforeAutospacing="0" w:after="0" w:afterAutospacing="0" w:line="0" w:lineRule="atLeast"/>
        <w:rPr>
          <w:sz w:val="22"/>
          <w:szCs w:val="22"/>
          <w:lang w:val="fr-FR"/>
        </w:rPr>
      </w:pPr>
      <w:r>
        <w:rPr>
          <w:color w:val="000000"/>
          <w:sz w:val="22"/>
          <w:szCs w:val="22"/>
          <w:lang w:val="fr-CA"/>
        </w:rPr>
        <w:t xml:space="preserve">Durant la dernière semaine de mai, l’Organisation de coopération et de développement économiques (OCDE) a augmenté ses prévisions de décembre pour la production économique mondiale de 4,2 % à 5,8 %. Les pays développés progressent grâce à des programmes de relance et de vaccination réussis. Cependant, l’OCDE annonce que l’amélioration des perspectives sera inégale car certains pays continuent de lutter contre le Covid-19. Les perspectives de l’OCDE pour le Canada sont particulièrement brillantes, avec une croissance estimée à 6,1 % cette année et à 3,8 % en 2022, lorsque l’OCDE s’attend à ce que la Banque du Canada relève son taux d’intérêt de référence. </w:t>
      </w:r>
    </w:p>
    <w:p w14:paraId="1B4E6FC1" w14:textId="77777777" w:rsidR="00856787" w:rsidRDefault="00856787">
      <w:pPr>
        <w:rPr>
          <w:sz w:val="22"/>
          <w:szCs w:val="22"/>
          <w:lang w:val="fr-FR"/>
        </w:rPr>
      </w:pPr>
    </w:p>
    <w:p w14:paraId="2B220194" w14:textId="77777777" w:rsidR="00856787" w:rsidRDefault="00B53AD7">
      <w:pPr>
        <w:rPr>
          <w:sz w:val="22"/>
          <w:szCs w:val="22"/>
          <w:lang w:val="fr-FR"/>
        </w:rPr>
      </w:pPr>
      <w:r>
        <w:rPr>
          <w:sz w:val="22"/>
          <w:szCs w:val="22"/>
          <w:lang w:val="fr-CA"/>
        </w:rPr>
        <w:t>Le S&amp;P TSX a grimpé en mai, atteignant des sommets presque records l’avant-dernier jour de bourse et s’est quelque peu modéré pour terminer le mois dans une position positive d’un mois à l’autre.</w:t>
      </w:r>
    </w:p>
    <w:p w14:paraId="52A342A9" w14:textId="77777777" w:rsidR="00856787" w:rsidRDefault="00856787">
      <w:pPr>
        <w:rPr>
          <w:sz w:val="22"/>
          <w:szCs w:val="22"/>
          <w:lang w:val="fr-FR"/>
        </w:rPr>
      </w:pPr>
    </w:p>
    <w:p w14:paraId="5C413A90" w14:textId="77777777" w:rsidR="00856787" w:rsidRDefault="00B53AD7">
      <w:pPr>
        <w:rPr>
          <w:sz w:val="22"/>
          <w:szCs w:val="22"/>
          <w:lang w:val="fr-FR"/>
        </w:rPr>
      </w:pPr>
      <w:r>
        <w:rPr>
          <w:sz w:val="22"/>
          <w:szCs w:val="22"/>
          <w:lang w:val="fr-CA"/>
        </w:rPr>
        <w:t xml:space="preserve">Touchés par les fermetures de vacances de fin de mois, les marchés américains, tels que mesurés par le S&amp;P 500 et l’indice industriel Dow Jones, sont restés stables sur le mois. </w:t>
      </w:r>
    </w:p>
    <w:p w14:paraId="4D70991A" w14:textId="77777777" w:rsidR="00856787" w:rsidRDefault="00856787">
      <w:pPr>
        <w:rPr>
          <w:sz w:val="22"/>
          <w:szCs w:val="22"/>
          <w:lang w:val="fr-FR"/>
        </w:rPr>
      </w:pPr>
    </w:p>
    <w:p w14:paraId="73AE5EC5" w14:textId="77777777" w:rsidR="00856787" w:rsidRDefault="00B53AD7">
      <w:pPr>
        <w:rPr>
          <w:sz w:val="22"/>
          <w:szCs w:val="22"/>
          <w:lang w:val="fr-FR"/>
        </w:rPr>
      </w:pPr>
      <w:r>
        <w:rPr>
          <w:sz w:val="22"/>
          <w:szCs w:val="22"/>
          <w:lang w:val="fr-CA"/>
        </w:rPr>
        <w:t>Les marchés européens, également touchés par les fêtes de fin de mois, ont terminé le mois en hausse de 2,4 % selon le STOXX Europe 600.</w:t>
      </w:r>
    </w:p>
    <w:p w14:paraId="0376B417" w14:textId="77777777" w:rsidR="00856787" w:rsidRDefault="00856787">
      <w:pPr>
        <w:rPr>
          <w:sz w:val="22"/>
          <w:szCs w:val="22"/>
          <w:lang w:val="fr-FR"/>
        </w:rPr>
      </w:pPr>
    </w:p>
    <w:p w14:paraId="7BE78808" w14:textId="77777777" w:rsidR="00856787" w:rsidRDefault="00B53AD7">
      <w:pPr>
        <w:rPr>
          <w:sz w:val="22"/>
          <w:szCs w:val="22"/>
          <w:lang w:val="fr-FR"/>
        </w:rPr>
      </w:pPr>
      <w:r>
        <w:rPr>
          <w:sz w:val="22"/>
          <w:szCs w:val="22"/>
          <w:lang w:val="fr-CA"/>
        </w:rPr>
        <w:t xml:space="preserve">Les données économiques décevantes du Japon et de la Chine ont fait perdre du terrain aux marchés asiatiques en mai. </w:t>
      </w:r>
    </w:p>
    <w:p w14:paraId="7C5A8527" w14:textId="77777777" w:rsidR="00856787" w:rsidRDefault="00856787">
      <w:pPr>
        <w:pStyle w:val="NormalWeb"/>
        <w:shd w:val="clear" w:color="auto" w:fill="FFFFFF"/>
        <w:spacing w:before="0" w:beforeAutospacing="0" w:after="0" w:afterAutospacing="0" w:line="285" w:lineRule="atLeast"/>
        <w:rPr>
          <w:color w:val="000000"/>
          <w:sz w:val="22"/>
          <w:szCs w:val="22"/>
          <w:lang w:val="fr-FR"/>
        </w:rPr>
      </w:pPr>
    </w:p>
    <w:p w14:paraId="37B318E3" w14:textId="77777777" w:rsidR="00856787" w:rsidRDefault="00B53AD7">
      <w:pPr>
        <w:rPr>
          <w:sz w:val="22"/>
          <w:szCs w:val="22"/>
          <w:lang w:val="fr-FR"/>
        </w:rPr>
      </w:pPr>
      <w:r>
        <w:rPr>
          <w:sz w:val="22"/>
          <w:szCs w:val="22"/>
          <w:lang w:val="fr-CA"/>
        </w:rPr>
        <w:t>Nous sommes là pour vous aider à atteindre vos objectifs d’investissement et nous vous invitons à nous faire part de vos questions. Tout au long de la pandémie, nous avons continué à servir les investisseurs de manière sûre et confortable par téléphone et appels vidéo. N’hésitez pas à me contacter ou à contacter un membre de mon équipe pour obtenir des informations sur votre portefeuille d’investissement. Nous avons hâte de travailler avec vous.</w:t>
      </w:r>
    </w:p>
    <w:p w14:paraId="6CCE8FB5" w14:textId="77777777" w:rsidR="00856787" w:rsidRDefault="00856787">
      <w:pPr>
        <w:rPr>
          <w:sz w:val="22"/>
          <w:szCs w:val="22"/>
          <w:lang w:val="fr-FR"/>
        </w:rPr>
      </w:pPr>
    </w:p>
    <w:p w14:paraId="4B6C0B63" w14:textId="77777777" w:rsidR="00856787" w:rsidRDefault="00B53AD7">
      <w:pPr>
        <w:rPr>
          <w:sz w:val="22"/>
          <w:szCs w:val="22"/>
          <w:lang w:val="fr-FR"/>
        </w:rPr>
      </w:pPr>
      <w:r>
        <w:rPr>
          <w:sz w:val="22"/>
          <w:szCs w:val="22"/>
          <w:lang w:val="fr-CA"/>
        </w:rPr>
        <w:t>Veuillez agréer, Madame, Monsieur, nos sincères salutations.</w:t>
      </w:r>
    </w:p>
    <w:p w14:paraId="0AFDBFE4" w14:textId="77777777" w:rsidR="00856787" w:rsidRDefault="00856787">
      <w:pPr>
        <w:rPr>
          <w:sz w:val="22"/>
          <w:szCs w:val="22"/>
          <w:lang w:val="fr-FR"/>
        </w:rPr>
      </w:pPr>
    </w:p>
    <w:p w14:paraId="43B74906" w14:textId="77777777" w:rsidR="00856787" w:rsidRDefault="00B53AD7">
      <w:pPr>
        <w:rPr>
          <w:sz w:val="22"/>
          <w:szCs w:val="22"/>
          <w:lang w:val="fr-FR"/>
        </w:rPr>
      </w:pPr>
      <w:r>
        <w:rPr>
          <w:sz w:val="22"/>
          <w:szCs w:val="22"/>
          <w:lang w:val="fr-CA"/>
        </w:rPr>
        <w:t>Conseiller financier</w:t>
      </w:r>
    </w:p>
    <w:p w14:paraId="697931AF" w14:textId="77777777" w:rsidR="00856787" w:rsidRDefault="00856787">
      <w:pPr>
        <w:rPr>
          <w:sz w:val="22"/>
          <w:szCs w:val="22"/>
          <w:lang w:val="fr-FR"/>
        </w:rPr>
      </w:pPr>
    </w:p>
    <w:p w14:paraId="697403DA" w14:textId="77777777" w:rsidR="00856787" w:rsidRDefault="00856787">
      <w:pPr>
        <w:rPr>
          <w:sz w:val="22"/>
          <w:szCs w:val="22"/>
          <w:lang w:val="fr-FR"/>
        </w:rPr>
      </w:pPr>
    </w:p>
    <w:p w14:paraId="22C4B703" w14:textId="77777777" w:rsidR="00856787" w:rsidRDefault="00B53AD7">
      <w:pPr>
        <w:rPr>
          <w:sz w:val="22"/>
          <w:szCs w:val="22"/>
          <w:lang w:val="fr-FR"/>
        </w:rPr>
      </w:pPr>
      <w:r>
        <w:rPr>
          <w:sz w:val="22"/>
          <w:szCs w:val="22"/>
          <w:lang w:val="fr-CA"/>
        </w:rPr>
        <w:t>Les renseignements contenus dans cette lettre sont dérivés de diverses sources, notamment le Financial Post et l’Organisation de coopération et de développement économiques (OCDE) à différentes dates. Les renseignements sur les indices ont été fournis par Yahoo Finance et Market Watch, et tous les rendements des indices boursiers cotés sont basés sur le rendement total (y compris les dividendes). Ce document est fourni à titre indicatif seulement et les informations incluses pourraient changer sans avis. Tous les efforts ont été déployés pour compiler ce matériel à partir de sources fiables et des mesures raisonnables ont été prises pour en assurer l’exactitude. Les conditions du marché pourraient varier et donc influer sur les renseignements contenus dans le présent document. Avant de prendre une décision sur l’un des points mentionnés ci-dessus, veuillez me consulter pour des conseils financiers tenant compte de votre situation personnelle.</w:t>
      </w:r>
    </w:p>
    <w:p w14:paraId="6FADA862" w14:textId="77777777" w:rsidR="00856787" w:rsidRDefault="00856787">
      <w:pPr>
        <w:rPr>
          <w:sz w:val="22"/>
          <w:szCs w:val="22"/>
          <w:lang w:val="fr-FR"/>
        </w:rPr>
      </w:pPr>
    </w:p>
    <w:p w14:paraId="74219D93" w14:textId="77777777" w:rsidR="00856787" w:rsidRDefault="00856787">
      <w:pPr>
        <w:rPr>
          <w:sz w:val="22"/>
          <w:szCs w:val="22"/>
          <w:lang w:val="fr-FR"/>
        </w:rPr>
      </w:pPr>
    </w:p>
    <w:p w14:paraId="48A718D9" w14:textId="77777777" w:rsidR="00856787" w:rsidRDefault="00856787">
      <w:pPr>
        <w:rPr>
          <w:sz w:val="22"/>
          <w:szCs w:val="22"/>
          <w:lang w:val="fr-FR"/>
        </w:rPr>
      </w:pPr>
    </w:p>
    <w:p w14:paraId="4D710DD4" w14:textId="77777777" w:rsidR="00856787" w:rsidRDefault="00856787">
      <w:pPr>
        <w:rPr>
          <w:sz w:val="22"/>
          <w:szCs w:val="22"/>
          <w:lang w:val="fr-FR"/>
        </w:rPr>
      </w:pPr>
    </w:p>
    <w:p w14:paraId="052C656C" w14:textId="77777777" w:rsidR="00856787" w:rsidRDefault="00856787">
      <w:pPr>
        <w:rPr>
          <w:sz w:val="22"/>
          <w:szCs w:val="22"/>
          <w:lang w:val="fr-FR"/>
        </w:rPr>
      </w:pPr>
    </w:p>
    <w:p w14:paraId="133B86D3" w14:textId="77777777" w:rsidR="00856787" w:rsidRDefault="00856787">
      <w:pPr>
        <w:rPr>
          <w:lang w:val="fr-FR"/>
        </w:rPr>
      </w:pPr>
    </w:p>
    <w:sectPr w:rsidR="008567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787"/>
    <w:rsid w:val="005C578E"/>
    <w:rsid w:val="00856787"/>
    <w:rsid w:val="00B53AD7"/>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BF95"/>
  <w15:chartTrackingRefBased/>
  <w15:docId w15:val="{C72363B9-62D9-5C4F-8791-9B39A54C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C2EBF-1744-4433-AF3A-3E77879F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CA0097172 LP14</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CA0097172 LP14</dc:title>
  <dc:creator>Microsoft Office User</dc:creator>
  <cp:lastModifiedBy>Damji, Aly</cp:lastModifiedBy>
  <cp:revision>2</cp:revision>
  <dcterms:created xsi:type="dcterms:W3CDTF">2021-06-08T17:10:00Z</dcterms:created>
  <dcterms:modified xsi:type="dcterms:W3CDTF">2021-06-08T17:10:00Z</dcterms:modified>
</cp:coreProperties>
</file>