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821CC" w14:textId="6F45FB87" w:rsidR="00755C18" w:rsidRPr="006F7BB8" w:rsidRDefault="0060699D">
      <w:pPr>
        <w:rPr>
          <w:i/>
          <w:iCs/>
        </w:rPr>
      </w:pPr>
      <w:bookmarkStart w:id="0" w:name="lt_pId001"/>
      <w:r w:rsidRPr="006F7BB8">
        <w:rPr>
          <w:i/>
        </w:rPr>
        <w:t>Le 22 mai 2020</w:t>
      </w:r>
      <w:bookmarkEnd w:id="0"/>
    </w:p>
    <w:p w14:paraId="57042BE9" w14:textId="51BB766D" w:rsidR="00425531" w:rsidRPr="006F7BB8" w:rsidRDefault="0060699D">
      <w:pPr>
        <w:rPr>
          <w:b/>
          <w:bCs/>
          <w:i/>
          <w:iCs/>
        </w:rPr>
      </w:pPr>
      <w:bookmarkStart w:id="1" w:name="lt_pId002"/>
      <w:r w:rsidRPr="006F7BB8">
        <w:rPr>
          <w:b/>
          <w:i/>
        </w:rPr>
        <w:t>Modèle de lettre destinée aux clients</w:t>
      </w:r>
      <w:bookmarkEnd w:id="1"/>
    </w:p>
    <w:p w14:paraId="65280BBE" w14:textId="74DFD4C5" w:rsidR="00167081" w:rsidRPr="006F7BB8" w:rsidRDefault="0004400E" w:rsidP="001603BC">
      <w:pPr>
        <w:tabs>
          <w:tab w:val="center" w:pos="4680"/>
        </w:tabs>
      </w:pPr>
      <w:bookmarkStart w:id="2" w:name="lt_pId003"/>
      <w:bookmarkStart w:id="3" w:name="lt_pId006"/>
      <w:bookmarkStart w:id="4" w:name="_Hlk40963519"/>
      <w:bookmarkEnd w:id="2"/>
      <w:r>
        <w:t xml:space="preserve">Le </w:t>
      </w:r>
      <w:r w:rsidR="0060699D" w:rsidRPr="006F7BB8">
        <w:t>[Date]</w:t>
      </w:r>
      <w:bookmarkEnd w:id="3"/>
    </w:p>
    <w:p w14:paraId="38052C78" w14:textId="31B42D78" w:rsidR="00425531" w:rsidRPr="006F7BB8" w:rsidRDefault="0004400E">
      <w:bookmarkStart w:id="5" w:name="lt_pId007"/>
      <w:r w:rsidRPr="0004400E">
        <w:t>Chère cliente, Cher client,</w:t>
      </w:r>
      <w:bookmarkEnd w:id="5"/>
    </w:p>
    <w:p w14:paraId="799418EF" w14:textId="4D538A25" w:rsidR="00211C44" w:rsidRPr="006F7BB8" w:rsidRDefault="0060699D">
      <w:bookmarkStart w:id="6" w:name="lt_pId008"/>
      <w:r w:rsidRPr="006F7BB8">
        <w:t>J’espère que vous et les membres de votre famille allez bien à l’approche du temps chaud et de l’assouplissement</w:t>
      </w:r>
      <w:r w:rsidR="0004400E">
        <w:t xml:space="preserve"> graduel</w:t>
      </w:r>
      <w:r w:rsidRPr="006F7BB8">
        <w:t xml:space="preserve"> des règles de confinement.</w:t>
      </w:r>
      <w:bookmarkEnd w:id="6"/>
      <w:r w:rsidRPr="006F7BB8">
        <w:t xml:space="preserve"> </w:t>
      </w:r>
      <w:bookmarkStart w:id="7" w:name="lt_pId009"/>
      <w:r w:rsidRPr="006F7BB8">
        <w:t>Vous trouverez ci-dessous un aperçu de l’évolution de l’économie et des marchés cette semaine, de même que certaines autres réflexions.</w:t>
      </w:r>
      <w:bookmarkEnd w:id="7"/>
    </w:p>
    <w:p w14:paraId="54A12C0F" w14:textId="0540756E" w:rsidR="00526515" w:rsidRPr="006F7BB8" w:rsidRDefault="0060699D" w:rsidP="00526515">
      <w:pPr>
        <w:rPr>
          <w:b/>
          <w:bCs/>
        </w:rPr>
      </w:pPr>
      <w:bookmarkStart w:id="8" w:name="lt_pId010"/>
      <w:bookmarkStart w:id="9" w:name="_Hlk37920924"/>
      <w:r w:rsidRPr="006F7BB8">
        <w:rPr>
          <w:b/>
        </w:rPr>
        <w:t>Événements récents</w:t>
      </w:r>
      <w:bookmarkEnd w:id="8"/>
    </w:p>
    <w:p w14:paraId="76EB3E17" w14:textId="00D97968" w:rsidR="006540FB" w:rsidRPr="006F7BB8" w:rsidRDefault="0060699D" w:rsidP="00660148">
      <w:pPr>
        <w:pStyle w:val="ListParagraph"/>
        <w:numPr>
          <w:ilvl w:val="0"/>
          <w:numId w:val="2"/>
        </w:numPr>
        <w:spacing w:line="256" w:lineRule="auto"/>
      </w:pPr>
      <w:bookmarkStart w:id="10" w:name="lt_pId011"/>
      <w:bookmarkStart w:id="11" w:name="_Hlk40962404"/>
      <w:r w:rsidRPr="006F7BB8">
        <w:t xml:space="preserve">Les marchés nord-américains étaient en hausse cette semaine, propulsés par les observations de </w:t>
      </w:r>
      <w:proofErr w:type="spellStart"/>
      <w:r w:rsidRPr="006F7BB8">
        <w:t>Jerome</w:t>
      </w:r>
      <w:proofErr w:type="spellEnd"/>
      <w:r w:rsidRPr="006F7BB8">
        <w:t xml:space="preserve"> Powell, président de la Réserve fédérale des États-Unis (la « Fed »), indiquant que celle-ci « n’était certes pas à court de munitions » et qu’il ne fallait pas parier contre l’économie américaine à moyen ou long terme.</w:t>
      </w:r>
      <w:bookmarkEnd w:id="10"/>
      <w:r w:rsidRPr="006F7BB8">
        <w:t xml:space="preserve"> </w:t>
      </w:r>
      <w:bookmarkStart w:id="12" w:name="lt_pId012"/>
      <w:r w:rsidRPr="006F7BB8">
        <w:t xml:space="preserve">L’optimisme du marché a également été soutenu par les résultats positifs des essais cliniques de phase 1 du vaccin contre la COVID-19 de </w:t>
      </w:r>
      <w:proofErr w:type="spellStart"/>
      <w:r w:rsidRPr="006F7BB8">
        <w:t>Moderna</w:t>
      </w:r>
      <w:proofErr w:type="spellEnd"/>
      <w:r w:rsidRPr="006F7BB8">
        <w:t>.</w:t>
      </w:r>
      <w:bookmarkEnd w:id="12"/>
    </w:p>
    <w:p w14:paraId="607E5BF0" w14:textId="7349DD22" w:rsidR="006540FB" w:rsidRPr="006F7BB8" w:rsidRDefault="0060699D" w:rsidP="006540FB">
      <w:pPr>
        <w:pStyle w:val="ListParagraph"/>
        <w:numPr>
          <w:ilvl w:val="0"/>
          <w:numId w:val="2"/>
        </w:numPr>
        <w:spacing w:line="256" w:lineRule="auto"/>
      </w:pPr>
      <w:bookmarkStart w:id="13" w:name="lt_pId013"/>
      <w:r w:rsidRPr="006F7BB8">
        <w:t>Le gouvernement canadien a élargi l’admissibilité aux prêts d’urgence aux entreprises pour inclure les entreprises qui ont présenté une déclaration de revenus pour 2018 ou 2019 et dont les dépenses se situent entre 40 000 $ et 1,5 million de dollars par année.</w:t>
      </w:r>
      <w:bookmarkEnd w:id="13"/>
    </w:p>
    <w:p w14:paraId="2689BAFF" w14:textId="4EECC5FF" w:rsidR="00636D47" w:rsidRPr="006F7BB8" w:rsidRDefault="0060699D" w:rsidP="006540FB">
      <w:pPr>
        <w:pStyle w:val="ListParagraph"/>
        <w:numPr>
          <w:ilvl w:val="0"/>
          <w:numId w:val="2"/>
        </w:numPr>
        <w:spacing w:line="256" w:lineRule="auto"/>
      </w:pPr>
      <w:bookmarkStart w:id="14" w:name="lt_pId014"/>
      <w:r w:rsidRPr="006F7BB8">
        <w:t>L’indice des prix à la consommation du Canada était en baisse de 0,2 % d’une année sur l’autre, ce qui marque le tout premier recul depuis septembre 2009.</w:t>
      </w:r>
      <w:bookmarkEnd w:id="14"/>
    </w:p>
    <w:p w14:paraId="0F59EB09" w14:textId="480AC236" w:rsidR="007F1869" w:rsidRPr="006F7BB8" w:rsidRDefault="0060699D" w:rsidP="00660148">
      <w:pPr>
        <w:pStyle w:val="ListParagraph"/>
        <w:numPr>
          <w:ilvl w:val="0"/>
          <w:numId w:val="2"/>
        </w:numPr>
        <w:spacing w:line="256" w:lineRule="auto"/>
      </w:pPr>
      <w:bookmarkStart w:id="15" w:name="lt_pId015"/>
      <w:r w:rsidRPr="006F7BB8">
        <w:t>Le Bureau du recensement des États-Unis a annoncé que le nombre de mises en chantier résidentielles en avril était de 29,7 % inférieur au chiffre d’avril 2019, un signe négatif, mais prévisible pour l’économie.</w:t>
      </w:r>
      <w:bookmarkEnd w:id="15"/>
      <w:r w:rsidRPr="006F7BB8">
        <w:t xml:space="preserve"> </w:t>
      </w:r>
      <w:bookmarkStart w:id="16" w:name="lt_pId016"/>
      <w:r w:rsidRPr="006F7BB8">
        <w:t xml:space="preserve">Les demandes d’inscription au chômage ont atteint </w:t>
      </w:r>
      <w:r w:rsidR="002A2CCC">
        <w:t>2,438</w:t>
      </w:r>
      <w:r w:rsidRPr="006F7BB8">
        <w:t> million</w:t>
      </w:r>
      <w:r w:rsidR="002A2CCC">
        <w:t>s</w:t>
      </w:r>
      <w:r w:rsidRPr="006F7BB8">
        <w:t xml:space="preserve"> cette semaine, portant le total cumulatif sur neuf semaines à </w:t>
      </w:r>
      <w:r w:rsidR="002A2CCC">
        <w:t>38,6</w:t>
      </w:r>
      <w:r w:rsidRPr="006F7BB8">
        <w:t> millions.</w:t>
      </w:r>
      <w:bookmarkEnd w:id="16"/>
    </w:p>
    <w:p w14:paraId="66351B15" w14:textId="39B85219" w:rsidR="006540FB" w:rsidRPr="006F7BB8" w:rsidRDefault="0060699D" w:rsidP="006540FB">
      <w:pPr>
        <w:pStyle w:val="ListParagraph"/>
        <w:numPr>
          <w:ilvl w:val="0"/>
          <w:numId w:val="2"/>
        </w:numPr>
        <w:spacing w:line="256" w:lineRule="auto"/>
      </w:pPr>
      <w:bookmarkStart w:id="17" w:name="lt_pId017"/>
      <w:bookmarkStart w:id="18" w:name="_Hlk37920948"/>
      <w:bookmarkEnd w:id="9"/>
      <w:r w:rsidRPr="006F7BB8">
        <w:t>Le prix du pétrole américain a atteint ses sommets en deux mois avec un nouvel assouplissement des règles de confinement dans une grande partie du monde et la poursuite d’une réduction de la production.</w:t>
      </w:r>
      <w:bookmarkEnd w:id="17"/>
    </w:p>
    <w:p w14:paraId="003D4B39" w14:textId="0F23A1F3" w:rsidR="00227FCD" w:rsidRPr="006F7BB8" w:rsidRDefault="0060699D" w:rsidP="00420514">
      <w:pPr>
        <w:rPr>
          <w:b/>
          <w:bCs/>
        </w:rPr>
      </w:pPr>
      <w:bookmarkStart w:id="19" w:name="lt_pId018"/>
      <w:bookmarkEnd w:id="18"/>
      <w:r w:rsidRPr="006F7BB8">
        <w:rPr>
          <w:b/>
        </w:rPr>
        <w:t>En quoi cela influe-t-il sur mes placements?</w:t>
      </w:r>
      <w:bookmarkEnd w:id="19"/>
      <w:r w:rsidRPr="006F7BB8">
        <w:rPr>
          <w:b/>
        </w:rPr>
        <w:t xml:space="preserve"> </w:t>
      </w:r>
    </w:p>
    <w:p w14:paraId="3F1CC232" w14:textId="1C7E0DA1" w:rsidR="005C4A56" w:rsidRPr="006F7BB8" w:rsidRDefault="0060699D" w:rsidP="00B46470">
      <w:bookmarkStart w:id="20" w:name="lt_pId019"/>
      <w:r w:rsidRPr="006F7BB8">
        <w:t>Les marchés ont continué de reprendre malgré une grande incertitude à l’égard de l’évolution de la pandémie et des perspectives de reprise économique, ce qui démontre</w:t>
      </w:r>
      <w:r w:rsidR="0004400E">
        <w:t xml:space="preserve"> de nouveau</w:t>
      </w:r>
      <w:r w:rsidRPr="006F7BB8">
        <w:t xml:space="preserve"> le risque de tenter de synchroniser ses placements en fonction des réactions à court terme.</w:t>
      </w:r>
      <w:bookmarkEnd w:id="20"/>
    </w:p>
    <w:p w14:paraId="286D433A" w14:textId="21078BC1" w:rsidR="00B0693A" w:rsidRPr="006F7BB8" w:rsidRDefault="0060699D" w:rsidP="00B46470">
      <w:bookmarkStart w:id="21" w:name="lt_pId020"/>
      <w:r w:rsidRPr="006F7BB8">
        <w:t>Une grande part de l’optimisme de cette semaine semble découler à la fois du potentiel de la mise au point d’un vaccin et de la possibilité que les gouvernements puissent prendre de nouvelles mesures de relance.</w:t>
      </w:r>
      <w:bookmarkEnd w:id="21"/>
      <w:r w:rsidRPr="006F7BB8">
        <w:t xml:space="preserve"> </w:t>
      </w:r>
      <w:bookmarkStart w:id="22" w:name="lt_pId021"/>
      <w:r w:rsidRPr="006F7BB8">
        <w:t>Que la réalité corresponde à ce potentiel sur un de ces deux fronts reste à voir, ce qui explique pourquoi votre plan de placement n’y est pas lié.</w:t>
      </w:r>
      <w:bookmarkEnd w:id="22"/>
    </w:p>
    <w:p w14:paraId="0A262226" w14:textId="68411927" w:rsidR="00B0693A" w:rsidRPr="006F7BB8" w:rsidRDefault="0060699D" w:rsidP="00B46470">
      <w:bookmarkStart w:id="23" w:name="lt_pId022"/>
      <w:r w:rsidRPr="006F7BB8">
        <w:t>À la lumière des nouvelles qui sortent, notamment les réouvertures continues et les données économiques médiocres, les marchés ont le choix parmi une foule d’indicateurs tant positifs que négatifs.</w:t>
      </w:r>
      <w:bookmarkEnd w:id="23"/>
      <w:r w:rsidRPr="006F7BB8">
        <w:t xml:space="preserve"> </w:t>
      </w:r>
      <w:bookmarkStart w:id="24" w:name="lt_pId023"/>
      <w:r w:rsidRPr="006F7BB8">
        <w:t>Comme nous l’avons vu dernièrement, ils peuvent se réorienter d’une semaine à l’autre, même lorsque les nouvelles ne semblent pas en cause.</w:t>
      </w:r>
      <w:bookmarkEnd w:id="24"/>
      <w:r w:rsidRPr="006F7BB8">
        <w:t xml:space="preserve"> </w:t>
      </w:r>
      <w:bookmarkStart w:id="25" w:name="lt_pId024"/>
      <w:r w:rsidRPr="006F7BB8">
        <w:t xml:space="preserve">C’est pourquoi je vous </w:t>
      </w:r>
      <w:r w:rsidR="006231B1">
        <w:t>suggère</w:t>
      </w:r>
      <w:r w:rsidR="006231B1" w:rsidRPr="006F7BB8">
        <w:t xml:space="preserve"> </w:t>
      </w:r>
      <w:r w:rsidRPr="006F7BB8">
        <w:t>de rester informés, mais de continuer de suivre votre plan à long terme.</w:t>
      </w:r>
      <w:bookmarkEnd w:id="25"/>
      <w:r w:rsidRPr="006F7BB8">
        <w:t xml:space="preserve"> </w:t>
      </w:r>
      <w:bookmarkStart w:id="26" w:name="lt_pId025"/>
      <w:r w:rsidRPr="006F7BB8">
        <w:t>C’est votre meilleure protection contre les sautes d’humeur hebdomadaires des marchés.</w:t>
      </w:r>
      <w:bookmarkEnd w:id="26"/>
    </w:p>
    <w:p w14:paraId="383EBEFA" w14:textId="4A751EA9" w:rsidR="00B46470" w:rsidRPr="006F7BB8" w:rsidRDefault="0060699D" w:rsidP="00B46470">
      <w:bookmarkStart w:id="27" w:name="lt_pId026"/>
      <w:r w:rsidRPr="006F7BB8">
        <w:lastRenderedPageBreak/>
        <w:t xml:space="preserve">Je suis toujours prêt à discuter </w:t>
      </w:r>
      <w:proofErr w:type="spellStart"/>
      <w:r w:rsidRPr="006F7BB8">
        <w:t>avec vous</w:t>
      </w:r>
      <w:proofErr w:type="spellEnd"/>
      <w:r w:rsidRPr="006F7BB8">
        <w:t xml:space="preserve"> de vos placements.</w:t>
      </w:r>
      <w:bookmarkEnd w:id="27"/>
      <w:r w:rsidRPr="006F7BB8">
        <w:t xml:space="preserve"> </w:t>
      </w:r>
      <w:bookmarkStart w:id="28" w:name="lt_pId027"/>
      <w:r w:rsidRPr="006F7BB8">
        <w:t>N’hésitez pas à m’appeler au (xxx) xxx-</w:t>
      </w:r>
      <w:proofErr w:type="spellStart"/>
      <w:r w:rsidRPr="006F7BB8">
        <w:t>xxxx</w:t>
      </w:r>
      <w:proofErr w:type="spellEnd"/>
      <w:r w:rsidRPr="006F7BB8">
        <w:t>.</w:t>
      </w:r>
      <w:bookmarkEnd w:id="28"/>
    </w:p>
    <w:p w14:paraId="45C68256" w14:textId="77777777" w:rsidR="00B124E4" w:rsidRPr="006F7BB8" w:rsidRDefault="009F3605" w:rsidP="0001110E"/>
    <w:p w14:paraId="63675CDE" w14:textId="62388839" w:rsidR="0001110E" w:rsidRPr="006F7BB8" w:rsidRDefault="0060699D" w:rsidP="0001110E">
      <w:bookmarkStart w:id="29" w:name="lt_pId028"/>
      <w:r w:rsidRPr="006F7BB8">
        <w:t>Cordialement,</w:t>
      </w:r>
      <w:bookmarkEnd w:id="29"/>
    </w:p>
    <w:bookmarkEnd w:id="11"/>
    <w:p w14:paraId="64176873" w14:textId="77777777" w:rsidR="00E47BE1" w:rsidRPr="006F7BB8" w:rsidRDefault="009F3605" w:rsidP="0001110E">
      <w:pPr>
        <w:rPr>
          <w:b/>
          <w:bCs/>
          <w:sz w:val="20"/>
          <w:szCs w:val="20"/>
        </w:rPr>
      </w:pPr>
    </w:p>
    <w:p w14:paraId="64780FA0" w14:textId="77777777" w:rsidR="00E47BE1" w:rsidRPr="006F7BB8" w:rsidRDefault="009F3605" w:rsidP="0001110E">
      <w:pPr>
        <w:rPr>
          <w:b/>
          <w:bCs/>
          <w:sz w:val="20"/>
          <w:szCs w:val="20"/>
        </w:rPr>
      </w:pPr>
    </w:p>
    <w:p w14:paraId="1207642B" w14:textId="710EEBC6" w:rsidR="00900C9F" w:rsidRPr="006F7BB8" w:rsidRDefault="0060699D" w:rsidP="0001110E">
      <w:pPr>
        <w:rPr>
          <w:b/>
          <w:bCs/>
          <w:sz w:val="20"/>
          <w:szCs w:val="20"/>
        </w:rPr>
      </w:pPr>
      <w:bookmarkStart w:id="30" w:name="lt_pId029"/>
      <w:r w:rsidRPr="006F7BB8">
        <w:rPr>
          <w:b/>
          <w:sz w:val="20"/>
        </w:rPr>
        <w:t>Nom du conseiller financier</w:t>
      </w:r>
      <w:bookmarkEnd w:id="30"/>
    </w:p>
    <w:p w14:paraId="2963516A" w14:textId="77777777" w:rsidR="00900C9F" w:rsidRPr="006F7BB8" w:rsidRDefault="009F3605" w:rsidP="0001110E">
      <w:pPr>
        <w:rPr>
          <w:b/>
          <w:bCs/>
          <w:sz w:val="20"/>
          <w:szCs w:val="20"/>
        </w:rPr>
      </w:pPr>
    </w:p>
    <w:p w14:paraId="06B930C5" w14:textId="246ECEBA" w:rsidR="004A171B" w:rsidRPr="0001110E" w:rsidRDefault="0060699D" w:rsidP="00211C44">
      <w:pPr>
        <w:rPr>
          <w:sz w:val="20"/>
          <w:szCs w:val="20"/>
        </w:rPr>
      </w:pPr>
      <w:bookmarkStart w:id="31" w:name="_Hlk37920981"/>
      <w:bookmarkStart w:id="32" w:name="lt_pId030"/>
      <w:bookmarkStart w:id="33" w:name="_GoBack"/>
      <w:bookmarkEnd w:id="33"/>
      <w:r w:rsidRPr="006F7BB8">
        <w:rPr>
          <w:sz w:val="20"/>
        </w:rPr>
        <w:t xml:space="preserve">Sources : </w:t>
      </w:r>
      <w:bookmarkStart w:id="34" w:name="_Hlk40962426"/>
      <w:r w:rsidR="0004400E">
        <w:rPr>
          <w:sz w:val="20"/>
        </w:rPr>
        <w:t>Placements CI</w:t>
      </w:r>
      <w:r w:rsidRPr="006F7BB8">
        <w:rPr>
          <w:sz w:val="20"/>
        </w:rPr>
        <w:t xml:space="preserve">, nbcnews.com, cnbc.com, reuters.com et </w:t>
      </w:r>
      <w:bookmarkEnd w:id="31"/>
      <w:r w:rsidRPr="006F7BB8">
        <w:rPr>
          <w:sz w:val="20"/>
        </w:rPr>
        <w:t>ctvnews.com</w:t>
      </w:r>
      <w:bookmarkEnd w:id="32"/>
      <w:bookmarkEnd w:id="34"/>
      <w:r>
        <w:rPr>
          <w:sz w:val="20"/>
        </w:rPr>
        <w:t xml:space="preserve"> </w:t>
      </w:r>
      <w:bookmarkEnd w:id="4"/>
    </w:p>
    <w:sectPr w:rsidR="004A171B" w:rsidRPr="000111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DE320" w14:textId="77777777" w:rsidR="009F3605" w:rsidRDefault="009F3605" w:rsidP="006F7BB8">
      <w:pPr>
        <w:spacing w:after="0" w:line="240" w:lineRule="auto"/>
      </w:pPr>
      <w:r>
        <w:separator/>
      </w:r>
    </w:p>
  </w:endnote>
  <w:endnote w:type="continuationSeparator" w:id="0">
    <w:p w14:paraId="5A76EED6" w14:textId="77777777" w:rsidR="009F3605" w:rsidRDefault="009F3605" w:rsidP="006F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8252B" w14:textId="77777777" w:rsidR="006F7BB8" w:rsidRDefault="006F7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29691" w14:textId="77777777" w:rsidR="006F7BB8" w:rsidRDefault="006F7B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25A8" w14:textId="77777777" w:rsidR="006F7BB8" w:rsidRDefault="006F7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33273" w14:textId="77777777" w:rsidR="009F3605" w:rsidRDefault="009F3605" w:rsidP="006F7BB8">
      <w:pPr>
        <w:spacing w:after="0" w:line="240" w:lineRule="auto"/>
      </w:pPr>
      <w:r>
        <w:separator/>
      </w:r>
    </w:p>
  </w:footnote>
  <w:footnote w:type="continuationSeparator" w:id="0">
    <w:p w14:paraId="0AC40F14" w14:textId="77777777" w:rsidR="009F3605" w:rsidRDefault="009F3605" w:rsidP="006F7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AE380" w14:textId="77777777" w:rsidR="006F7BB8" w:rsidRDefault="006F7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A2EEE" w14:textId="77777777" w:rsidR="006F7BB8" w:rsidRDefault="006F7B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B4802" w14:textId="77777777" w:rsidR="006F7BB8" w:rsidRDefault="006F7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F3EF4"/>
    <w:multiLevelType w:val="hybridMultilevel"/>
    <w:tmpl w:val="A50E9B12"/>
    <w:lvl w:ilvl="0" w:tplc="EBBE683E">
      <w:start w:val="1"/>
      <w:numFmt w:val="bullet"/>
      <w:lvlText w:val=""/>
      <w:lvlJc w:val="left"/>
      <w:pPr>
        <w:ind w:left="720" w:hanging="360"/>
      </w:pPr>
      <w:rPr>
        <w:rFonts w:ascii="Symbol" w:hAnsi="Symbol" w:hint="default"/>
      </w:rPr>
    </w:lvl>
    <w:lvl w:ilvl="1" w:tplc="94DAEBA6" w:tentative="1">
      <w:start w:val="1"/>
      <w:numFmt w:val="bullet"/>
      <w:lvlText w:val="o"/>
      <w:lvlJc w:val="left"/>
      <w:pPr>
        <w:ind w:left="1440" w:hanging="360"/>
      </w:pPr>
      <w:rPr>
        <w:rFonts w:ascii="Courier New" w:hAnsi="Courier New" w:cs="Courier New" w:hint="default"/>
      </w:rPr>
    </w:lvl>
    <w:lvl w:ilvl="2" w:tplc="C1A6A17A" w:tentative="1">
      <w:start w:val="1"/>
      <w:numFmt w:val="bullet"/>
      <w:lvlText w:val=""/>
      <w:lvlJc w:val="left"/>
      <w:pPr>
        <w:ind w:left="2160" w:hanging="360"/>
      </w:pPr>
      <w:rPr>
        <w:rFonts w:ascii="Wingdings" w:hAnsi="Wingdings" w:hint="default"/>
      </w:rPr>
    </w:lvl>
    <w:lvl w:ilvl="3" w:tplc="66B8426E" w:tentative="1">
      <w:start w:val="1"/>
      <w:numFmt w:val="bullet"/>
      <w:lvlText w:val=""/>
      <w:lvlJc w:val="left"/>
      <w:pPr>
        <w:ind w:left="2880" w:hanging="360"/>
      </w:pPr>
      <w:rPr>
        <w:rFonts w:ascii="Symbol" w:hAnsi="Symbol" w:hint="default"/>
      </w:rPr>
    </w:lvl>
    <w:lvl w:ilvl="4" w:tplc="E59C4094" w:tentative="1">
      <w:start w:val="1"/>
      <w:numFmt w:val="bullet"/>
      <w:lvlText w:val="o"/>
      <w:lvlJc w:val="left"/>
      <w:pPr>
        <w:ind w:left="3600" w:hanging="360"/>
      </w:pPr>
      <w:rPr>
        <w:rFonts w:ascii="Courier New" w:hAnsi="Courier New" w:cs="Courier New" w:hint="default"/>
      </w:rPr>
    </w:lvl>
    <w:lvl w:ilvl="5" w:tplc="BDDAE758" w:tentative="1">
      <w:start w:val="1"/>
      <w:numFmt w:val="bullet"/>
      <w:lvlText w:val=""/>
      <w:lvlJc w:val="left"/>
      <w:pPr>
        <w:ind w:left="4320" w:hanging="360"/>
      </w:pPr>
      <w:rPr>
        <w:rFonts w:ascii="Wingdings" w:hAnsi="Wingdings" w:hint="default"/>
      </w:rPr>
    </w:lvl>
    <w:lvl w:ilvl="6" w:tplc="CC84954E" w:tentative="1">
      <w:start w:val="1"/>
      <w:numFmt w:val="bullet"/>
      <w:lvlText w:val=""/>
      <w:lvlJc w:val="left"/>
      <w:pPr>
        <w:ind w:left="5040" w:hanging="360"/>
      </w:pPr>
      <w:rPr>
        <w:rFonts w:ascii="Symbol" w:hAnsi="Symbol" w:hint="default"/>
      </w:rPr>
    </w:lvl>
    <w:lvl w:ilvl="7" w:tplc="4B9AC4AC" w:tentative="1">
      <w:start w:val="1"/>
      <w:numFmt w:val="bullet"/>
      <w:lvlText w:val="o"/>
      <w:lvlJc w:val="left"/>
      <w:pPr>
        <w:ind w:left="5760" w:hanging="360"/>
      </w:pPr>
      <w:rPr>
        <w:rFonts w:ascii="Courier New" w:hAnsi="Courier New" w:cs="Courier New" w:hint="default"/>
      </w:rPr>
    </w:lvl>
    <w:lvl w:ilvl="8" w:tplc="AA5C00FC"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9D"/>
    <w:rsid w:val="0004400E"/>
    <w:rsid w:val="002A2CCC"/>
    <w:rsid w:val="0032185D"/>
    <w:rsid w:val="0051276C"/>
    <w:rsid w:val="0060699D"/>
    <w:rsid w:val="006231B1"/>
    <w:rsid w:val="006F7BB8"/>
    <w:rsid w:val="009D1A35"/>
    <w:rsid w:val="009F3605"/>
    <w:rsid w:val="00BB0BA9"/>
    <w:rsid w:val="00C6358D"/>
    <w:rsid w:val="00EC5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fr-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fr-CA"/>
    </w:rPr>
  </w:style>
  <w:style w:type="paragraph" w:styleId="Revision">
    <w:name w:val="Revision"/>
    <w:hidden/>
    <w:uiPriority w:val="99"/>
    <w:semiHidden/>
    <w:rsid w:val="00900C9F"/>
    <w:pPr>
      <w:spacing w:after="0" w:line="240" w:lineRule="auto"/>
    </w:pPr>
  </w:style>
  <w:style w:type="paragraph" w:styleId="ListParagraph">
    <w:name w:val="List Paragraph"/>
    <w:basedOn w:val="Normal"/>
    <w:uiPriority w:val="34"/>
    <w:qFormat/>
    <w:rsid w:val="00565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fr-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fr-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fr-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fr-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fr-CA"/>
    </w:rPr>
  </w:style>
  <w:style w:type="paragraph" w:styleId="Revision">
    <w:name w:val="Revision"/>
    <w:hidden/>
    <w:uiPriority w:val="99"/>
    <w:semiHidden/>
    <w:rsid w:val="00900C9F"/>
    <w:pPr>
      <w:spacing w:after="0" w:line="240" w:lineRule="auto"/>
    </w:pPr>
  </w:style>
  <w:style w:type="paragraph" w:styleId="ListParagraph">
    <w:name w:val="List Paragraph"/>
    <w:basedOn w:val="Normal"/>
    <w:uiPriority w:val="34"/>
    <w:qFormat/>
    <w:rsid w:val="00565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0CFC6DE282A941A8295ACCC7235069" ma:contentTypeVersion="7" ma:contentTypeDescription="Create a new document." ma:contentTypeScope="" ma:versionID="31b7c443788aa216659ab0090720e287">
  <xsd:schema xmlns:xsd="http://www.w3.org/2001/XMLSchema" xmlns:xs="http://www.w3.org/2001/XMLSchema" xmlns:p="http://schemas.microsoft.com/office/2006/metadata/properties" xmlns:ns3="23a5f2b9-e15f-4389-bf5f-f59e8759ab59" xmlns:ns4="016c5d98-54b0-4955-9281-cfa2535f864a" targetNamespace="http://schemas.microsoft.com/office/2006/metadata/properties" ma:root="true" ma:fieldsID="57d6880e31804d9cf22468ea071ff6c3" ns3:_="" ns4:_="">
    <xsd:import namespace="23a5f2b9-e15f-4389-bf5f-f59e8759ab59"/>
    <xsd:import namespace="016c5d98-54b0-4955-9281-cfa2535f86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5f2b9-e15f-4389-bf5f-f59e8759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c5d98-54b0-4955-9281-cfa2535f8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9C37-72AE-40B4-96FB-A326400880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4CEF00-912B-4C2B-8F36-231CBF6878CA}">
  <ds:schemaRefs>
    <ds:schemaRef ds:uri="http://schemas.microsoft.com/sharepoint/v3/contenttype/forms"/>
  </ds:schemaRefs>
</ds:datastoreItem>
</file>

<file path=customXml/itemProps3.xml><?xml version="1.0" encoding="utf-8"?>
<ds:datastoreItem xmlns:ds="http://schemas.openxmlformats.org/officeDocument/2006/customXml" ds:itemID="{C4C60708-30D0-468F-9203-26F072D7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5f2b9-e15f-4389-bf5f-f59e8759ab59"/>
    <ds:schemaRef ds:uri="016c5d98-54b0-4955-9281-cfa2535f8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344E7-B7A9-4E25-9736-256EE1FE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Amato, Adam</dc:creator>
  <cp:lastModifiedBy>Damji, Aly</cp:lastModifiedBy>
  <cp:revision>2</cp:revision>
  <cp:lastPrinted>2020-05-21T15:09:00Z</cp:lastPrinted>
  <dcterms:created xsi:type="dcterms:W3CDTF">2020-05-25T01:01:00Z</dcterms:created>
  <dcterms:modified xsi:type="dcterms:W3CDTF">2020-05-25T01:01:00Z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0x010100790CFC6DE282A941A8295ACCC7235069</vt:lpwstr>
  </property>
</Properties>
</file>