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8168F" w14:textId="77777777" w:rsidR="006B0EDC" w:rsidRPr="007C17B4" w:rsidRDefault="006B0EDC" w:rsidP="00BB3026">
      <w:pPr>
        <w:rPr>
          <w:i/>
          <w:iCs/>
        </w:rPr>
      </w:pPr>
      <w:bookmarkStart w:id="0" w:name="_GoBack"/>
      <w:bookmarkEnd w:id="0"/>
    </w:p>
    <w:p w14:paraId="60FAE3EC" w14:textId="7960F40E" w:rsidR="00BB3026" w:rsidRDefault="00C773F0" w:rsidP="00BB3026">
      <w:pPr>
        <w:rPr>
          <w:sz w:val="22"/>
          <w:szCs w:val="22"/>
        </w:rPr>
      </w:pPr>
      <w:r>
        <w:rPr>
          <w:sz w:val="22"/>
          <w:szCs w:val="22"/>
        </w:rPr>
        <w:t xml:space="preserve">X </w:t>
      </w:r>
      <w:proofErr w:type="spellStart"/>
      <w:r>
        <w:rPr>
          <w:sz w:val="22"/>
          <w:szCs w:val="22"/>
        </w:rPr>
        <w:t>j</w:t>
      </w:r>
      <w:r w:rsidR="0076142E">
        <w:rPr>
          <w:sz w:val="22"/>
          <w:szCs w:val="22"/>
        </w:rPr>
        <w:t>uillet</w:t>
      </w:r>
      <w:proofErr w:type="spellEnd"/>
      <w:r w:rsidR="00BB3026" w:rsidRPr="006B0EDC">
        <w:rPr>
          <w:sz w:val="22"/>
          <w:szCs w:val="22"/>
        </w:rPr>
        <w:t xml:space="preserve"> 2021</w:t>
      </w:r>
    </w:p>
    <w:p w14:paraId="11A352A5" w14:textId="77777777" w:rsidR="006B0EDC" w:rsidRPr="006B0EDC" w:rsidRDefault="006B0EDC" w:rsidP="00BB3026">
      <w:pPr>
        <w:rPr>
          <w:sz w:val="22"/>
          <w:szCs w:val="22"/>
        </w:rPr>
      </w:pPr>
    </w:p>
    <w:p w14:paraId="70A707EE" w14:textId="77777777" w:rsidR="00A61B6D" w:rsidRPr="00CC3D33" w:rsidRDefault="00A61B6D" w:rsidP="00A61B6D">
      <w:pPr>
        <w:rPr>
          <w:sz w:val="22"/>
          <w:szCs w:val="22"/>
          <w:lang w:val="fr-CA"/>
        </w:rPr>
      </w:pPr>
      <w:r>
        <w:rPr>
          <w:sz w:val="22"/>
          <w:szCs w:val="22"/>
          <w:lang w:val="fr-CA"/>
        </w:rPr>
        <w:t>Chère cliente/Cher client,</w:t>
      </w:r>
    </w:p>
    <w:p w14:paraId="2A032576" w14:textId="77777777" w:rsidR="0076142E" w:rsidRPr="0076142E" w:rsidRDefault="0076142E" w:rsidP="0076142E">
      <w:pPr>
        <w:pStyle w:val="xmsonormal"/>
        <w:shd w:val="clear" w:color="auto" w:fill="FFFFFF"/>
        <w:spacing w:before="0" w:beforeAutospacing="0" w:after="0" w:afterAutospacing="0"/>
        <w:rPr>
          <w:b/>
          <w:sz w:val="22"/>
          <w:szCs w:val="22"/>
        </w:rPr>
      </w:pPr>
    </w:p>
    <w:p w14:paraId="55C0E10E" w14:textId="77777777" w:rsidR="0076142E" w:rsidRPr="0076142E" w:rsidRDefault="0076142E" w:rsidP="0076142E">
      <w:pPr>
        <w:pStyle w:val="xmsonormal"/>
        <w:shd w:val="clear" w:color="auto" w:fill="FFFFFF"/>
        <w:spacing w:before="0" w:beforeAutospacing="0" w:after="0" w:afterAutospacing="0"/>
        <w:rPr>
          <w:sz w:val="22"/>
          <w:szCs w:val="22"/>
        </w:rPr>
      </w:pPr>
      <w:r w:rsidRPr="0076142E">
        <w:rPr>
          <w:rFonts w:eastAsia="Arial"/>
          <w:sz w:val="22"/>
          <w:szCs w:val="22"/>
          <w:lang w:val="fr-CA"/>
        </w:rPr>
        <w:t>L’économie mondiale a continué à se redresser au deuxième trimestre, aidée par le lancement des vaccins COVID-19, les programmes de relance budgétaire américains et les politiques monétaires de soutien des principales banques centrales.</w:t>
      </w:r>
      <w:r w:rsidRPr="0076142E">
        <w:rPr>
          <w:rFonts w:eastAsia="Arial"/>
          <w:b/>
          <w:bCs/>
          <w:sz w:val="22"/>
          <w:szCs w:val="22"/>
          <w:lang w:val="fr-CA"/>
        </w:rPr>
        <w:br/>
      </w:r>
      <w:r w:rsidRPr="0076142E">
        <w:rPr>
          <w:rFonts w:eastAsia="Arial"/>
          <w:b/>
          <w:bCs/>
          <w:sz w:val="22"/>
          <w:szCs w:val="22"/>
          <w:lang w:val="fr-CA"/>
        </w:rPr>
        <w:br/>
      </w:r>
      <w:r w:rsidRPr="0076142E">
        <w:rPr>
          <w:rFonts w:eastAsia="Arial"/>
          <w:sz w:val="22"/>
          <w:szCs w:val="22"/>
          <w:lang w:val="fr-CA"/>
        </w:rPr>
        <w:t xml:space="preserve">Les marchés des actions américains, canadiens et mondiaux ont terminé </w:t>
      </w:r>
      <w:proofErr w:type="gramStart"/>
      <w:r w:rsidRPr="0076142E">
        <w:rPr>
          <w:rFonts w:eastAsia="Arial"/>
          <w:sz w:val="22"/>
          <w:szCs w:val="22"/>
          <w:lang w:val="fr-CA"/>
        </w:rPr>
        <w:t>le trimestre plus solides</w:t>
      </w:r>
      <w:proofErr w:type="gramEnd"/>
      <w:r w:rsidRPr="0076142E">
        <w:rPr>
          <w:rFonts w:eastAsia="Arial"/>
          <w:sz w:val="22"/>
          <w:szCs w:val="22"/>
          <w:lang w:val="fr-CA"/>
        </w:rPr>
        <w:t xml:space="preserve"> qu’au début. Les bons du Trésor américain, les obligations d’État et les obligations d’entreprises ont également enregistré des rendements positifs. Au Canada, les FNB ont connu un autre trimestre record.</w:t>
      </w:r>
      <w:r w:rsidRPr="0076142E">
        <w:rPr>
          <w:rFonts w:eastAsia="Arial"/>
          <w:sz w:val="22"/>
          <w:szCs w:val="22"/>
          <w:lang w:val="fr-CA"/>
        </w:rPr>
        <w:br/>
      </w:r>
      <w:r w:rsidRPr="0076142E">
        <w:rPr>
          <w:rFonts w:eastAsia="Arial"/>
          <w:sz w:val="22"/>
          <w:szCs w:val="22"/>
          <w:lang w:val="fr-CA"/>
        </w:rPr>
        <w:br/>
        <w:t>La pandémie a encore jeté de l’ombre sur le trimestre. L’Inde a été frappée par un variant agressif de la COVID-19 en mai. Au plus fort de la pandémie, le nombre de cas a dépassé les 400 000, ce qui a conduit à davantage de restrictions et de fermetures, mais à la fin du trimestre, les cas ont commencé à diminuer. Le Japon a connu une augmentation des cas de COVID-19 à Tokyo et dans d’autres grandes villes, quelques mois seulement avant les Jeux olympiques. Cela a conduit à une intensification du programme de vaccination au Japon, et les cas ont depuis commencé à diminuer.</w:t>
      </w:r>
      <w:r w:rsidRPr="0076142E">
        <w:rPr>
          <w:rFonts w:eastAsia="Arial"/>
          <w:sz w:val="22"/>
          <w:szCs w:val="22"/>
          <w:lang w:val="fr-CA"/>
        </w:rPr>
        <w:br/>
      </w:r>
      <w:r w:rsidRPr="0076142E">
        <w:rPr>
          <w:rFonts w:eastAsia="Arial"/>
          <w:sz w:val="22"/>
          <w:szCs w:val="22"/>
          <w:lang w:val="fr-CA"/>
        </w:rPr>
        <w:br/>
        <w:t xml:space="preserve">La Fed a laissé les taux d’intérêt américains dans une fourchette de 0 à 0,25 % et a déclaré qu’elle continuerait à acheter des bons du Trésor et des titres adossés à des créances hypothécaires pour stimuler les emprunts et les dépenses. </w:t>
      </w:r>
      <w:r w:rsidRPr="0076142E">
        <w:rPr>
          <w:rFonts w:eastAsia="Arial"/>
          <w:sz w:val="22"/>
          <w:szCs w:val="22"/>
          <w:shd w:val="clear" w:color="auto" w:fill="FFFFFF"/>
          <w:lang w:val="fr-CA"/>
        </w:rPr>
        <w:t xml:space="preserve">La Fed a toutefois relevé ses prévisions d’inflation, à 3,4 % d’ici la fin de l’année. </w:t>
      </w:r>
      <w:r w:rsidRPr="0076142E">
        <w:rPr>
          <w:rFonts w:eastAsia="Arial"/>
          <w:sz w:val="22"/>
          <w:szCs w:val="22"/>
          <w:lang w:val="fr-CA"/>
        </w:rPr>
        <w:t>En conséquence, la Fed a signalé qu’elle pourrait agir plus tôt que prévu pour commencer à relever les taux, peut-être deux fois d’ici la fin de 2023.</w:t>
      </w:r>
      <w:r w:rsidRPr="0076142E">
        <w:rPr>
          <w:rFonts w:eastAsia="Arial"/>
          <w:sz w:val="22"/>
          <w:szCs w:val="22"/>
          <w:lang w:val="fr-CA"/>
        </w:rPr>
        <w:br/>
      </w:r>
      <w:r w:rsidRPr="0076142E">
        <w:rPr>
          <w:rFonts w:eastAsia="Arial"/>
          <w:sz w:val="22"/>
          <w:szCs w:val="22"/>
          <w:lang w:val="fr-CA"/>
        </w:rPr>
        <w:br/>
      </w:r>
      <w:r w:rsidRPr="0076142E">
        <w:rPr>
          <w:rFonts w:eastAsia="Arial"/>
          <w:sz w:val="22"/>
          <w:szCs w:val="22"/>
          <w:shd w:val="clear" w:color="auto" w:fill="FFFFFF"/>
          <w:lang w:val="fr-CA"/>
        </w:rPr>
        <w:t xml:space="preserve">La Banque du Canada a également maintenu ses taux d’intérêt à 0,25 % en indiquant qu’elle s’attend à une forte reprise de l’économie cet été. La Banque a ajouté que les dépenses de consommation seraient à l’origine de cette évolution, car la vaccination se poursuit et les gouvernements provinciaux assouplissent les restrictions. </w:t>
      </w:r>
      <w:r w:rsidRPr="0076142E">
        <w:rPr>
          <w:rFonts w:eastAsia="Arial"/>
          <w:sz w:val="22"/>
          <w:szCs w:val="22"/>
          <w:shd w:val="clear" w:color="auto" w:fill="FFFFFF"/>
          <w:lang w:val="fr-CA"/>
        </w:rPr>
        <w:br/>
      </w:r>
      <w:r w:rsidRPr="0076142E">
        <w:rPr>
          <w:rFonts w:eastAsia="Arial"/>
          <w:sz w:val="22"/>
          <w:szCs w:val="22"/>
          <w:shd w:val="clear" w:color="auto" w:fill="FFFFFF"/>
          <w:lang w:val="fr-CA"/>
        </w:rPr>
        <w:br/>
        <w:t xml:space="preserve">Comme aux États-Unis, l’inflation au Canada a augmenté. </w:t>
      </w:r>
      <w:r w:rsidRPr="0076142E">
        <w:rPr>
          <w:rFonts w:eastAsia="Arial"/>
          <w:sz w:val="22"/>
          <w:szCs w:val="22"/>
          <w:lang w:val="fr-CA"/>
        </w:rPr>
        <w:t>Statistique Canada a déclaré qu’une augmentation de 3,6 % de l’indice des prix à la consommation (IPC) en mai était la plus importante augmentation annuelle en une décennie et dépassait les 3,4 % affichés en avril. La Banque du Canada a réaffirmé qu’elle était prête à relever ses taux si l’inflation se maintenait au-dessus de sa cible de 2 %. Toutefois, elle a noté que cette récente poussée d’inflation était probablement temporaire, principalement due à la remontée des prix de l’essence et à des calculs basés sur les niveaux déprimés de l’année dernière.</w:t>
      </w:r>
      <w:r w:rsidRPr="0076142E">
        <w:rPr>
          <w:rFonts w:eastAsia="Arial"/>
          <w:sz w:val="22"/>
          <w:szCs w:val="22"/>
          <w:lang w:val="fr-CA"/>
        </w:rPr>
        <w:br/>
      </w:r>
      <w:r w:rsidRPr="0076142E">
        <w:rPr>
          <w:rFonts w:eastAsia="Arial"/>
          <w:sz w:val="22"/>
          <w:szCs w:val="22"/>
          <w:lang w:val="fr-CA"/>
        </w:rPr>
        <w:br/>
      </w:r>
      <w:r w:rsidRPr="0076142E">
        <w:rPr>
          <w:rFonts w:eastAsia="Arial"/>
          <w:b/>
          <w:bCs/>
          <w:sz w:val="22"/>
          <w:szCs w:val="22"/>
          <w:lang w:val="fr-CA"/>
        </w:rPr>
        <w:t>Les marchés de capitaux au T2</w:t>
      </w:r>
      <w:r w:rsidRPr="0076142E">
        <w:rPr>
          <w:rFonts w:eastAsia="Arial"/>
          <w:b/>
          <w:bCs/>
          <w:sz w:val="22"/>
          <w:szCs w:val="22"/>
          <w:lang w:val="fr-CA"/>
        </w:rPr>
        <w:br/>
      </w:r>
      <w:r w:rsidRPr="0076142E">
        <w:rPr>
          <w:rFonts w:eastAsia="Arial"/>
          <w:b/>
          <w:bCs/>
          <w:sz w:val="22"/>
          <w:szCs w:val="22"/>
          <w:lang w:val="fr-CA"/>
        </w:rPr>
        <w:br/>
      </w:r>
      <w:r w:rsidRPr="0076142E">
        <w:rPr>
          <w:rFonts w:eastAsia="Arial"/>
          <w:sz w:val="22"/>
          <w:szCs w:val="22"/>
          <w:lang w:val="fr-CA"/>
        </w:rPr>
        <w:t xml:space="preserve">L’indice composé S&amp;P/TSX a terminé le trimestre en hausse de 8,54 %, grâce aux secteurs des services financiers (poids de 31,59 %), de l’énergie (12,98 %) et des matériaux (11,63 %). L’indice S&amp;P 500 a affiché un rendement de 6,95 %, grâce aux secteurs des technologies de l’information (26,2 %), des soins de santé (13 %) et de la consommation discrétionnaire (12,1 %). </w:t>
      </w:r>
    </w:p>
    <w:p w14:paraId="6386B0F9" w14:textId="77777777" w:rsidR="0076142E" w:rsidRPr="0076142E" w:rsidRDefault="0076142E" w:rsidP="0076142E">
      <w:pPr>
        <w:pStyle w:val="xmsonormal"/>
        <w:shd w:val="clear" w:color="auto" w:fill="FFFFFF"/>
        <w:spacing w:before="0" w:beforeAutospacing="0" w:after="0" w:afterAutospacing="0"/>
        <w:rPr>
          <w:b/>
          <w:sz w:val="22"/>
          <w:szCs w:val="22"/>
        </w:rPr>
      </w:pPr>
      <w:r w:rsidRPr="0076142E">
        <w:rPr>
          <w:rFonts w:eastAsia="Arial"/>
          <w:sz w:val="22"/>
          <w:szCs w:val="22"/>
          <w:lang w:val="fr-CA"/>
        </w:rPr>
        <w:t>L’indice MSCI EAEO était également en territoire positif avec un rendement de 3,83, grâce aux secteurs de la finance (16,96 %), de l’industrie (15,5 %) et de la consommation discrétionnaire (13,03 %).</w:t>
      </w:r>
      <w:r w:rsidRPr="0076142E">
        <w:rPr>
          <w:rFonts w:eastAsia="Arial"/>
          <w:sz w:val="22"/>
          <w:szCs w:val="22"/>
          <w:lang w:val="fr-CA"/>
        </w:rPr>
        <w:br/>
      </w:r>
      <w:r w:rsidRPr="0076142E">
        <w:rPr>
          <w:rFonts w:eastAsia="Arial"/>
          <w:sz w:val="22"/>
          <w:szCs w:val="22"/>
          <w:lang w:val="fr-CA"/>
        </w:rPr>
        <w:br/>
        <w:t>Depuis le début de l’année, l’indice composé S&amp;P/TSX a augmenté de 17,28 %, l’indice S&amp;P 500 de 12,02 % et l’indice MSCI EAEO de 6,12 %.</w:t>
      </w:r>
      <w:r w:rsidRPr="0076142E">
        <w:rPr>
          <w:rFonts w:eastAsia="Arial"/>
          <w:sz w:val="22"/>
          <w:szCs w:val="22"/>
          <w:lang w:val="fr-CA"/>
        </w:rPr>
        <w:br/>
      </w:r>
      <w:r w:rsidRPr="0076142E">
        <w:rPr>
          <w:rFonts w:eastAsia="Arial"/>
          <w:sz w:val="22"/>
          <w:szCs w:val="22"/>
          <w:lang w:val="fr-CA"/>
        </w:rPr>
        <w:br/>
      </w:r>
      <w:r w:rsidRPr="0076142E">
        <w:rPr>
          <w:rFonts w:eastAsia="Arial"/>
          <w:sz w:val="22"/>
          <w:szCs w:val="22"/>
          <w:lang w:val="fr-CA"/>
        </w:rPr>
        <w:lastRenderedPageBreak/>
        <w:t>Les marchés mondiaux se sont redressés malgré l’inflation, la volatilité des crypto-monnaies et la hausse des cas de COVID-19 dans plusieurs pays asiatiques après que la Fed a réitéré sa position monétaire accommodante. Les actions américaines ont grimpé</w:t>
      </w:r>
      <w:r w:rsidRPr="0076142E">
        <w:rPr>
          <w:rFonts w:eastAsia="Arial"/>
          <w:b/>
          <w:bCs/>
          <w:sz w:val="22"/>
          <w:szCs w:val="22"/>
          <w:lang w:val="fr-CA"/>
        </w:rPr>
        <w:t xml:space="preserve"> </w:t>
      </w:r>
      <w:r w:rsidRPr="0076142E">
        <w:rPr>
          <w:rFonts w:eastAsia="Arial"/>
          <w:sz w:val="22"/>
          <w:szCs w:val="22"/>
          <w:lang w:val="fr-CA"/>
        </w:rPr>
        <w:t>en raison de l’optimisme économique croissant et de la nouvelle selon laquelle le président Biden proposerait un budget fédéral de 6 000 milliards $ US pour l’exercice 2022. Les actions des marchés émergents ont également progressé, la faiblesse du dollar américain et la hausse des prix du pétrole ayant favorisé les exportations.</w:t>
      </w:r>
      <w:r w:rsidRPr="0076142E">
        <w:rPr>
          <w:rFonts w:eastAsia="Arial"/>
          <w:sz w:val="22"/>
          <w:szCs w:val="22"/>
          <w:lang w:val="fr-CA"/>
        </w:rPr>
        <w:br/>
      </w:r>
      <w:r w:rsidRPr="0076142E">
        <w:rPr>
          <w:rFonts w:eastAsia="Arial"/>
          <w:sz w:val="22"/>
          <w:szCs w:val="22"/>
          <w:lang w:val="fr-CA"/>
        </w:rPr>
        <w:br/>
        <w:t>Sur les marchés à revenu fixe, les bons du Trésor américain et les obligations liées au gouvernement ont enregistré des rendements totaux positifs. Au sein du crédit aux entreprises, les obligations de qualité supérieure ont progressé grâce à la baisse des rendements du Trésor américain. La dette des marchés émergents libellée en monnaie locale et en dollars américains a également augmenté.</w:t>
      </w:r>
      <w:r w:rsidRPr="0076142E">
        <w:rPr>
          <w:rFonts w:eastAsia="Arial"/>
          <w:b/>
          <w:bCs/>
          <w:sz w:val="22"/>
          <w:szCs w:val="22"/>
          <w:lang w:val="fr-CA"/>
        </w:rPr>
        <w:t xml:space="preserve"> </w:t>
      </w:r>
      <w:r w:rsidRPr="0076142E">
        <w:rPr>
          <w:rFonts w:eastAsia="Arial"/>
          <w:sz w:val="22"/>
          <w:szCs w:val="22"/>
          <w:lang w:val="fr-CA"/>
        </w:rPr>
        <w:t>Les rendements des obligations d’État de la zone euro ont augmenté en avril, puis sont restés largement inchangés pendant le reste du trimestre.</w:t>
      </w:r>
    </w:p>
    <w:p w14:paraId="414026F6" w14:textId="77777777" w:rsidR="0076142E" w:rsidRPr="0076142E" w:rsidRDefault="0076142E" w:rsidP="0076142E">
      <w:pPr>
        <w:rPr>
          <w:sz w:val="22"/>
          <w:szCs w:val="22"/>
        </w:rPr>
      </w:pPr>
    </w:p>
    <w:p w14:paraId="5523716D" w14:textId="77777777" w:rsidR="0076142E" w:rsidRPr="0076142E" w:rsidRDefault="0076142E" w:rsidP="0076142E">
      <w:pPr>
        <w:rPr>
          <w:sz w:val="22"/>
          <w:szCs w:val="22"/>
        </w:rPr>
      </w:pPr>
      <w:r w:rsidRPr="0076142E">
        <w:rPr>
          <w:rFonts w:eastAsia="Arial"/>
          <w:bCs/>
          <w:sz w:val="22"/>
          <w:szCs w:val="22"/>
          <w:lang w:val="fr-CA"/>
        </w:rPr>
        <w:t>Sur les marchés des changes, le dollar américain s’est déprécié par rapport à la plupart des grandes devises ainsi qu’à celles de nombreux marchés émergents. Cette évolution est à nouveau due à la baisse des rendements du Trésor, à l’augmentation des dépenses budgétaires américaines, à la baisse des cas de COVID-19, à l’augmentation des vaccinations et aux espoirs persistants d’une reprise économique mondiale.</w:t>
      </w:r>
    </w:p>
    <w:p w14:paraId="4BC33611" w14:textId="77777777" w:rsidR="0076142E" w:rsidRPr="0076142E" w:rsidRDefault="0076142E" w:rsidP="0076142E">
      <w:pPr>
        <w:rPr>
          <w:sz w:val="22"/>
          <w:szCs w:val="22"/>
        </w:rPr>
      </w:pPr>
    </w:p>
    <w:p w14:paraId="1AFE115B" w14:textId="77777777" w:rsidR="0076142E" w:rsidRPr="0076142E" w:rsidRDefault="0076142E" w:rsidP="0076142E">
      <w:pPr>
        <w:rPr>
          <w:b/>
          <w:sz w:val="22"/>
          <w:szCs w:val="22"/>
        </w:rPr>
      </w:pPr>
      <w:r w:rsidRPr="0076142E">
        <w:rPr>
          <w:rFonts w:eastAsia="Arial"/>
          <w:sz w:val="22"/>
          <w:szCs w:val="22"/>
          <w:lang w:val="fr-CA"/>
        </w:rPr>
        <w:t xml:space="preserve">Plus près de nous, les entrées de FNB canadiens ont atteint plus de 4,5 milliards $ CA et les actifs totaux ont augmenté à 268 milliards $ CA. Environ un tiers de ces entrées sont allées aux actions canadiennes et un autre tiers aux crypto-actifs. Gestion mondiale d’actifs CI a également lancé en avril le premier et moins cher FNB </w:t>
      </w:r>
      <w:proofErr w:type="spellStart"/>
      <w:r w:rsidRPr="0076142E">
        <w:rPr>
          <w:rFonts w:eastAsia="Arial"/>
          <w:sz w:val="22"/>
          <w:szCs w:val="22"/>
          <w:lang w:val="fr-CA"/>
        </w:rPr>
        <w:t>Ethereum</w:t>
      </w:r>
      <w:proofErr w:type="spellEnd"/>
      <w:r w:rsidRPr="0076142E">
        <w:rPr>
          <w:rFonts w:eastAsia="Arial"/>
          <w:sz w:val="22"/>
          <w:szCs w:val="22"/>
          <w:lang w:val="fr-CA"/>
        </w:rPr>
        <w:t xml:space="preserve"> au monde, le FNB d’</w:t>
      </w:r>
      <w:proofErr w:type="spellStart"/>
      <w:r w:rsidRPr="0076142E">
        <w:rPr>
          <w:rFonts w:eastAsia="Arial"/>
          <w:sz w:val="22"/>
          <w:szCs w:val="22"/>
          <w:lang w:val="fr-CA"/>
        </w:rPr>
        <w:t>Ethereum</w:t>
      </w:r>
      <w:proofErr w:type="spellEnd"/>
      <w:r w:rsidRPr="0076142E">
        <w:rPr>
          <w:rFonts w:eastAsia="Arial"/>
          <w:sz w:val="22"/>
          <w:szCs w:val="22"/>
          <w:lang w:val="fr-CA"/>
        </w:rPr>
        <w:t xml:space="preserve"> CI Galaxy. En neuf jours, notre FNB a récolté 147 millions $ CA d’actifs.</w:t>
      </w:r>
      <w:r w:rsidRPr="0076142E">
        <w:rPr>
          <w:rFonts w:eastAsia="Arial"/>
          <w:b/>
          <w:bCs/>
          <w:sz w:val="22"/>
          <w:szCs w:val="22"/>
          <w:lang w:val="fr-CA"/>
        </w:rPr>
        <w:br/>
      </w:r>
      <w:r w:rsidRPr="0076142E">
        <w:rPr>
          <w:rFonts w:eastAsia="Arial"/>
          <w:b/>
          <w:bCs/>
          <w:sz w:val="22"/>
          <w:szCs w:val="22"/>
          <w:lang w:val="fr-CA"/>
        </w:rPr>
        <w:br/>
        <w:t>À quoi pouvons-nous nous attendre maintenant?</w:t>
      </w:r>
    </w:p>
    <w:p w14:paraId="1FEC881B" w14:textId="77777777" w:rsidR="0076142E" w:rsidRPr="0076142E" w:rsidRDefault="0076142E" w:rsidP="0076142E">
      <w:pPr>
        <w:pStyle w:val="xmsonormal"/>
        <w:shd w:val="clear" w:color="auto" w:fill="FFFFFF"/>
        <w:spacing w:before="0" w:beforeAutospacing="0" w:after="0" w:afterAutospacing="0"/>
        <w:textAlignment w:val="baseline"/>
        <w:rPr>
          <w:sz w:val="22"/>
          <w:szCs w:val="22"/>
          <w:lang w:val="en-CA"/>
        </w:rPr>
      </w:pPr>
    </w:p>
    <w:p w14:paraId="502E488D" w14:textId="77777777" w:rsidR="0076142E" w:rsidRPr="0076142E" w:rsidRDefault="0076142E" w:rsidP="0076142E">
      <w:pPr>
        <w:rPr>
          <w:rFonts w:eastAsia="Calibri"/>
          <w:sz w:val="22"/>
          <w:szCs w:val="22"/>
        </w:rPr>
      </w:pPr>
      <w:r w:rsidRPr="0076142E">
        <w:rPr>
          <w:rFonts w:eastAsia="Arial"/>
          <w:sz w:val="22"/>
          <w:szCs w:val="22"/>
          <w:lang w:val="fr-CA"/>
        </w:rPr>
        <w:t xml:space="preserve">L’économie mondiale devrait connaître une accélération de la réouverture du commerce pendant les mois d’été. Nous nous attendons à une vague de demande refoulée, en particulier dans les secteurs des services tels que les voyages, les restaurants et les événements. Cette évolution sera alimentée par l’épargne élevée des ménages, le maintien du soutien budgétaire et monétaire et l’effet d’entraînement de la vigueur des marchés du logement et des actions. </w:t>
      </w:r>
    </w:p>
    <w:p w14:paraId="1AA233C6" w14:textId="77777777" w:rsidR="0076142E" w:rsidRPr="0076142E" w:rsidRDefault="0076142E" w:rsidP="0076142E">
      <w:pPr>
        <w:rPr>
          <w:rFonts w:eastAsia="Calibri"/>
          <w:sz w:val="22"/>
          <w:szCs w:val="22"/>
        </w:rPr>
      </w:pPr>
    </w:p>
    <w:p w14:paraId="5BA8F1A5" w14:textId="77777777" w:rsidR="0076142E" w:rsidRPr="0076142E" w:rsidRDefault="0076142E" w:rsidP="0076142E">
      <w:pPr>
        <w:pStyle w:val="Default"/>
        <w:rPr>
          <w:rFonts w:ascii="Times New Roman" w:hAnsi="Times New Roman" w:cs="Times New Roman"/>
          <w:color w:val="auto"/>
          <w:sz w:val="22"/>
          <w:szCs w:val="22"/>
        </w:rPr>
      </w:pPr>
      <w:r w:rsidRPr="0076142E">
        <w:rPr>
          <w:rFonts w:ascii="Times New Roman" w:eastAsia="Arial" w:hAnsi="Times New Roman" w:cs="Times New Roman"/>
          <w:color w:val="auto"/>
          <w:sz w:val="22"/>
          <w:szCs w:val="22"/>
          <w:lang w:val="fr-CA"/>
        </w:rPr>
        <w:t xml:space="preserve">Quelle que soit la position que nous occupons dans le cycle du marché, il est important d’adopter une approche disciplinée de l’investissement et de rester concentré sur vos objectifs financiers à long terme. Cette stratégie vous permet de ne pas vous laisser influencer par vos émotions en matière d’investissement - généralement en achetant à prix élevé et en vendant à prix bas, comme le font de nombreux investisseurs. </w:t>
      </w:r>
    </w:p>
    <w:p w14:paraId="7B4B220D" w14:textId="77777777" w:rsidR="0076142E" w:rsidRPr="0076142E" w:rsidRDefault="0076142E" w:rsidP="0076142E">
      <w:pPr>
        <w:pStyle w:val="Default"/>
        <w:rPr>
          <w:rFonts w:ascii="Times New Roman" w:hAnsi="Times New Roman" w:cs="Times New Roman"/>
          <w:color w:val="auto"/>
          <w:sz w:val="22"/>
          <w:szCs w:val="22"/>
        </w:rPr>
      </w:pPr>
    </w:p>
    <w:p w14:paraId="0C664822" w14:textId="77777777" w:rsidR="0076142E" w:rsidRPr="0076142E" w:rsidRDefault="0076142E" w:rsidP="0076142E">
      <w:pPr>
        <w:pStyle w:val="Default"/>
        <w:rPr>
          <w:rFonts w:ascii="Times New Roman" w:hAnsi="Times New Roman" w:cs="Times New Roman"/>
          <w:color w:val="auto"/>
          <w:sz w:val="22"/>
          <w:szCs w:val="22"/>
        </w:rPr>
      </w:pPr>
      <w:r w:rsidRPr="0076142E">
        <w:rPr>
          <w:rFonts w:ascii="Times New Roman" w:eastAsia="Arial" w:hAnsi="Times New Roman" w:cs="Times New Roman"/>
          <w:color w:val="auto"/>
          <w:sz w:val="22"/>
          <w:szCs w:val="22"/>
          <w:lang w:val="fr-CA"/>
        </w:rPr>
        <w:t xml:space="preserve">Nous continuons à penser que vous devriez maintenir une combinaison diversifiée de classes d’actifs dans votre portefeuille afin de maximiser les rendements potentiels et de minimiser les risques. Le fait de revoir et de rééquilibrer régulièrement votre portefeuille en fonction de la répartition cible des actifs que nous avons créée permet également de s’assurer qu’il reste aligné sur vos objectifs financiers. </w:t>
      </w:r>
    </w:p>
    <w:p w14:paraId="4AE9FA1F" w14:textId="77777777" w:rsidR="0076142E" w:rsidRPr="0076142E" w:rsidRDefault="0076142E" w:rsidP="0076142E">
      <w:pPr>
        <w:pStyle w:val="Default"/>
        <w:rPr>
          <w:rFonts w:ascii="Times New Roman" w:hAnsi="Times New Roman" w:cs="Times New Roman"/>
          <w:color w:val="auto"/>
          <w:sz w:val="22"/>
          <w:szCs w:val="22"/>
        </w:rPr>
      </w:pPr>
    </w:p>
    <w:p w14:paraId="0D2D52D4" w14:textId="77777777" w:rsidR="0076142E" w:rsidRPr="0076142E" w:rsidRDefault="0076142E" w:rsidP="0076142E">
      <w:pPr>
        <w:spacing w:after="160" w:line="259" w:lineRule="auto"/>
        <w:rPr>
          <w:rFonts w:eastAsia="Calibri"/>
          <w:sz w:val="22"/>
          <w:szCs w:val="22"/>
        </w:rPr>
      </w:pPr>
      <w:r w:rsidRPr="0076142E">
        <w:rPr>
          <w:rFonts w:eastAsia="Arial"/>
          <w:sz w:val="22"/>
          <w:szCs w:val="22"/>
          <w:lang w:val="fr-CA"/>
        </w:rPr>
        <w:t>Je vous remercie de la confiance que vous nous accordez, à moi et à mon équipe, et de l’occasion qui m’est donnée de vous aider à atteindre vos objectifs financiers. Nous vous accompagnons à chaque étape de votre parcours d’investissement, en identifiant les stratégies et les opportunités, en examinant les performances et en rééquilibrant votre portefeuille pour vous aider à rester sur la bonne voie. Si vous avez des questions concernant votre portefeuille, n’hésitez pas à communiquer avec mon bureau.</w:t>
      </w:r>
    </w:p>
    <w:p w14:paraId="069FF8D7" w14:textId="2FDA9A85" w:rsidR="006B0EDC" w:rsidRDefault="006B0EDC" w:rsidP="00BB3026"/>
    <w:p w14:paraId="060059CC" w14:textId="77777777" w:rsidR="0076142E" w:rsidRPr="0076142E" w:rsidRDefault="0076142E" w:rsidP="0076142E">
      <w:pPr>
        <w:rPr>
          <w:i/>
          <w:iCs/>
          <w:sz w:val="22"/>
          <w:szCs w:val="22"/>
        </w:rPr>
      </w:pPr>
      <w:r w:rsidRPr="0076142E">
        <w:rPr>
          <w:i/>
          <w:iCs/>
          <w:sz w:val="22"/>
          <w:szCs w:val="22"/>
          <w:lang w:val="fr-CA"/>
        </w:rPr>
        <w:t xml:space="preserve">Les renseignements contenus dans la présente lettre proviennent de diverses sources, dont Gestion mondiale d’actifs CI, </w:t>
      </w:r>
      <w:proofErr w:type="spellStart"/>
      <w:r w:rsidRPr="0076142E">
        <w:rPr>
          <w:i/>
          <w:iCs/>
          <w:sz w:val="22"/>
          <w:szCs w:val="22"/>
          <w:lang w:val="fr-CA"/>
        </w:rPr>
        <w:t>Morningstar</w:t>
      </w:r>
      <w:proofErr w:type="spellEnd"/>
      <w:r w:rsidRPr="0076142E">
        <w:rPr>
          <w:i/>
          <w:iCs/>
          <w:sz w:val="22"/>
          <w:szCs w:val="22"/>
          <w:lang w:val="fr-CA"/>
        </w:rPr>
        <w:t xml:space="preserve"> </w:t>
      </w:r>
      <w:proofErr w:type="spellStart"/>
      <w:r w:rsidRPr="0076142E">
        <w:rPr>
          <w:i/>
          <w:iCs/>
          <w:sz w:val="22"/>
          <w:szCs w:val="22"/>
          <w:lang w:val="fr-CA"/>
        </w:rPr>
        <w:t>Research</w:t>
      </w:r>
      <w:proofErr w:type="spellEnd"/>
      <w:r w:rsidRPr="0076142E">
        <w:rPr>
          <w:i/>
          <w:iCs/>
          <w:sz w:val="22"/>
          <w:szCs w:val="22"/>
          <w:lang w:val="fr-CA"/>
        </w:rPr>
        <w:t xml:space="preserve"> Inc., Investment </w:t>
      </w:r>
      <w:proofErr w:type="spellStart"/>
      <w:r w:rsidRPr="0076142E">
        <w:rPr>
          <w:i/>
          <w:iCs/>
          <w:sz w:val="22"/>
          <w:szCs w:val="22"/>
          <w:lang w:val="fr-CA"/>
        </w:rPr>
        <w:t>Executive</w:t>
      </w:r>
      <w:proofErr w:type="spellEnd"/>
      <w:r w:rsidRPr="0076142E">
        <w:rPr>
          <w:i/>
          <w:iCs/>
          <w:sz w:val="22"/>
          <w:szCs w:val="22"/>
          <w:lang w:val="fr-CA"/>
        </w:rPr>
        <w:t xml:space="preserve">, </w:t>
      </w:r>
      <w:proofErr w:type="spellStart"/>
      <w:r w:rsidRPr="0076142E">
        <w:rPr>
          <w:i/>
          <w:iCs/>
          <w:sz w:val="22"/>
          <w:szCs w:val="22"/>
          <w:lang w:val="fr-CA"/>
        </w:rPr>
        <w:t>Advisor’s</w:t>
      </w:r>
      <w:proofErr w:type="spellEnd"/>
      <w:r w:rsidRPr="0076142E">
        <w:rPr>
          <w:i/>
          <w:iCs/>
          <w:sz w:val="22"/>
          <w:szCs w:val="22"/>
          <w:lang w:val="fr-CA"/>
        </w:rPr>
        <w:t xml:space="preserve"> Edge, Statistique Canada, Bloomberg, Reuters, Banque du Canada, Globe and Mail et National Post, à diverses dates. Les renseignements sur l’indice ont été fournis par TD </w:t>
      </w:r>
      <w:proofErr w:type="spellStart"/>
      <w:r w:rsidRPr="0076142E">
        <w:rPr>
          <w:i/>
          <w:iCs/>
          <w:sz w:val="22"/>
          <w:szCs w:val="22"/>
          <w:lang w:val="fr-CA"/>
        </w:rPr>
        <w:t>Newcrest</w:t>
      </w:r>
      <w:proofErr w:type="spellEnd"/>
      <w:r w:rsidRPr="0076142E">
        <w:rPr>
          <w:i/>
          <w:iCs/>
          <w:sz w:val="22"/>
          <w:szCs w:val="22"/>
          <w:lang w:val="fr-CA"/>
        </w:rPr>
        <w:t xml:space="preserve"> et PC Bond, et tous les rendements des indices boursiers cotés sont fondés sur le rendement total (y compris les dividendes).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de marché peuvent évoluer et avoir un impact sur les informations contenues dans ce document. Avant de donner suite à l’une ou l’autre de ces recommandations, veuillez communiquer avec moi pour obtenir des conseils financiers individuels en fonction de votre situation personnelle.</w:t>
      </w:r>
    </w:p>
    <w:p w14:paraId="7DCE3CDB" w14:textId="77777777" w:rsidR="006B0EDC" w:rsidRDefault="006B0EDC" w:rsidP="00BB3026"/>
    <w:p w14:paraId="1BB78E30" w14:textId="25834769" w:rsidR="00EC41E1" w:rsidRPr="00CD624B" w:rsidRDefault="00EC41E1" w:rsidP="00EC41E1">
      <w:pPr>
        <w:rPr>
          <w:sz w:val="22"/>
          <w:szCs w:val="22"/>
        </w:rPr>
      </w:pPr>
      <w:r>
        <w:br/>
      </w:r>
    </w:p>
    <w:sectPr w:rsidR="00EC41E1" w:rsidRPr="00CD624B" w:rsidSect="002C32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24433"/>
    <w:multiLevelType w:val="hybridMultilevel"/>
    <w:tmpl w:val="4648A4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26"/>
    <w:rsid w:val="001E27F1"/>
    <w:rsid w:val="002C32B6"/>
    <w:rsid w:val="00347258"/>
    <w:rsid w:val="003C021E"/>
    <w:rsid w:val="004D11F0"/>
    <w:rsid w:val="006B0EDC"/>
    <w:rsid w:val="0076142E"/>
    <w:rsid w:val="008164BD"/>
    <w:rsid w:val="009209A2"/>
    <w:rsid w:val="00933D05"/>
    <w:rsid w:val="00A61B6D"/>
    <w:rsid w:val="00BB3026"/>
    <w:rsid w:val="00BD6B93"/>
    <w:rsid w:val="00C773F0"/>
    <w:rsid w:val="00CD624B"/>
    <w:rsid w:val="00D36E83"/>
    <w:rsid w:val="00E65094"/>
    <w:rsid w:val="00EC41E1"/>
    <w:rsid w:val="00F65FF7"/>
    <w:rsid w:val="00FF3D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1124"/>
  <w15:chartTrackingRefBased/>
  <w15:docId w15:val="{17633BF9-B8E0-5B41-AB59-7A4BEBCA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E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026"/>
    <w:rPr>
      <w:color w:val="0563C1" w:themeColor="hyperlink"/>
      <w:u w:val="single"/>
    </w:rPr>
  </w:style>
  <w:style w:type="character" w:styleId="UnresolvedMention">
    <w:name w:val="Unresolved Mention"/>
    <w:basedOn w:val="DefaultParagraphFont"/>
    <w:uiPriority w:val="99"/>
    <w:semiHidden/>
    <w:unhideWhenUsed/>
    <w:rsid w:val="00BB3026"/>
    <w:rPr>
      <w:color w:val="605E5C"/>
      <w:shd w:val="clear" w:color="auto" w:fill="E1DFDD"/>
    </w:rPr>
  </w:style>
  <w:style w:type="character" w:styleId="FollowedHyperlink">
    <w:name w:val="FollowedHyperlink"/>
    <w:basedOn w:val="DefaultParagraphFont"/>
    <w:uiPriority w:val="99"/>
    <w:semiHidden/>
    <w:unhideWhenUsed/>
    <w:rsid w:val="006B0EDC"/>
    <w:rPr>
      <w:color w:val="954F72" w:themeColor="followedHyperlink"/>
      <w:u w:val="single"/>
    </w:rPr>
  </w:style>
  <w:style w:type="paragraph" w:customStyle="1" w:styleId="xmsonormal">
    <w:name w:val="x_msonormal"/>
    <w:basedOn w:val="Normal"/>
    <w:rsid w:val="00933D05"/>
    <w:pPr>
      <w:spacing w:before="100" w:beforeAutospacing="1" w:after="100" w:afterAutospacing="1"/>
    </w:pPr>
    <w:rPr>
      <w:lang w:val="en-US"/>
    </w:rPr>
  </w:style>
  <w:style w:type="paragraph" w:customStyle="1" w:styleId="Default">
    <w:name w:val="Default"/>
    <w:rsid w:val="00933D05"/>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3130">
      <w:bodyDiv w:val="1"/>
      <w:marLeft w:val="0"/>
      <w:marRight w:val="0"/>
      <w:marTop w:val="0"/>
      <w:marBottom w:val="0"/>
      <w:divBdr>
        <w:top w:val="none" w:sz="0" w:space="0" w:color="auto"/>
        <w:left w:val="none" w:sz="0" w:space="0" w:color="auto"/>
        <w:bottom w:val="none" w:sz="0" w:space="0" w:color="auto"/>
        <w:right w:val="none" w:sz="0" w:space="0" w:color="auto"/>
      </w:divBdr>
    </w:div>
    <w:div w:id="637955624">
      <w:bodyDiv w:val="1"/>
      <w:marLeft w:val="0"/>
      <w:marRight w:val="0"/>
      <w:marTop w:val="0"/>
      <w:marBottom w:val="0"/>
      <w:divBdr>
        <w:top w:val="none" w:sz="0" w:space="0" w:color="auto"/>
        <w:left w:val="none" w:sz="0" w:space="0" w:color="auto"/>
        <w:bottom w:val="none" w:sz="0" w:space="0" w:color="auto"/>
        <w:right w:val="none" w:sz="0" w:space="0" w:color="auto"/>
      </w:divBdr>
    </w:div>
    <w:div w:id="1028995347">
      <w:bodyDiv w:val="1"/>
      <w:marLeft w:val="0"/>
      <w:marRight w:val="0"/>
      <w:marTop w:val="0"/>
      <w:marBottom w:val="0"/>
      <w:divBdr>
        <w:top w:val="none" w:sz="0" w:space="0" w:color="auto"/>
        <w:left w:val="none" w:sz="0" w:space="0" w:color="auto"/>
        <w:bottom w:val="none" w:sz="0" w:space="0" w:color="auto"/>
        <w:right w:val="none" w:sz="0" w:space="0" w:color="auto"/>
      </w:divBdr>
    </w:div>
    <w:div w:id="17529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Damji, Aly</cp:lastModifiedBy>
  <cp:revision>2</cp:revision>
  <dcterms:created xsi:type="dcterms:W3CDTF">2021-07-09T01:10:00Z</dcterms:created>
  <dcterms:modified xsi:type="dcterms:W3CDTF">2021-07-09T01:10:00Z</dcterms:modified>
</cp:coreProperties>
</file>