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B825" w14:textId="77777777" w:rsidR="00A65E2C" w:rsidRDefault="00C12314">
      <w:pPr>
        <w:rPr>
          <w:sz w:val="22"/>
          <w:szCs w:val="22"/>
          <w:lang w:val="fr-FR"/>
        </w:rPr>
      </w:pPr>
      <w:r>
        <w:rPr>
          <w:i/>
          <w:iCs/>
          <w:sz w:val="22"/>
          <w:szCs w:val="22"/>
          <w:lang w:val="fr-CA"/>
        </w:rPr>
        <w:br/>
      </w:r>
      <w:proofErr w:type="gramStart"/>
      <w:r>
        <w:rPr>
          <w:sz w:val="22"/>
          <w:szCs w:val="22"/>
          <w:lang w:val="fr-CA"/>
        </w:rPr>
        <w:t>xx</w:t>
      </w:r>
      <w:proofErr w:type="gramEnd"/>
      <w:r>
        <w:rPr>
          <w:sz w:val="22"/>
          <w:szCs w:val="22"/>
          <w:lang w:val="fr-CA"/>
        </w:rPr>
        <w:t> octobre 2021</w:t>
      </w:r>
    </w:p>
    <w:p w14:paraId="13EE4048" w14:textId="77777777" w:rsidR="00A65E2C" w:rsidRDefault="00A65E2C">
      <w:pPr>
        <w:rPr>
          <w:sz w:val="22"/>
          <w:szCs w:val="22"/>
          <w:lang w:val="fr-FR"/>
        </w:rPr>
      </w:pPr>
    </w:p>
    <w:p w14:paraId="3624BFA8" w14:textId="77777777" w:rsidR="00A65E2C" w:rsidRDefault="00C12314">
      <w:pPr>
        <w:rPr>
          <w:b/>
          <w:sz w:val="22"/>
          <w:szCs w:val="22"/>
          <w:lang w:val="fr-FR"/>
        </w:rPr>
      </w:pPr>
      <w:r>
        <w:rPr>
          <w:b/>
          <w:bCs/>
          <w:sz w:val="22"/>
          <w:szCs w:val="22"/>
          <w:lang w:val="fr-CA"/>
        </w:rPr>
        <w:t>Chère cliente/Cher client,</w:t>
      </w:r>
    </w:p>
    <w:p w14:paraId="3AD95E08" w14:textId="77777777" w:rsidR="00A65E2C" w:rsidRDefault="00C12314">
      <w:pPr>
        <w:rPr>
          <w:color w:val="333333"/>
          <w:sz w:val="22"/>
          <w:szCs w:val="22"/>
          <w:shd w:val="clear" w:color="auto" w:fill="FFFFFF"/>
          <w:lang w:val="fr-FR"/>
        </w:rPr>
      </w:pPr>
      <w:r>
        <w:rPr>
          <w:color w:val="333333"/>
          <w:sz w:val="22"/>
          <w:szCs w:val="22"/>
          <w:shd w:val="clear" w:color="auto" w:fill="FFFFFF"/>
          <w:lang w:val="fr-CA"/>
        </w:rPr>
        <w:br/>
        <w:t xml:space="preserve">Les marchés des actions américains, canadiens et mondiaux ont commencé le troisième trimestre là où le deuxième trimestre s’est terminé, poursuivant avec confiance leur progression. À la fin d’août, les actions avaient enregistré un septième mois consécutif de gains, l’indice S&amp;P 500 terminant près de son sommet historique et l’indice composite TSX affichant sa plus longue série de gains en quatre ans. Les marchés ont ensuite chuté en septembre en raison de plusieurs événements liés au risque, avant de finir le T3 près des sommets précédents. </w:t>
      </w:r>
      <w:r>
        <w:rPr>
          <w:color w:val="333333"/>
          <w:sz w:val="22"/>
          <w:szCs w:val="22"/>
          <w:shd w:val="clear" w:color="auto" w:fill="FFFFFF"/>
          <w:lang w:val="fr-CA"/>
        </w:rPr>
        <w:br/>
      </w:r>
      <w:r>
        <w:rPr>
          <w:color w:val="333333"/>
          <w:sz w:val="22"/>
          <w:szCs w:val="22"/>
          <w:shd w:val="clear" w:color="auto" w:fill="FFFFFF"/>
          <w:lang w:val="fr-CA"/>
        </w:rPr>
        <w:br/>
        <w:t>Les marchés à revenu fixe sont restés calmes et les rendements des bons du Trésor américain sont restés stables, grâce aux commentaires économiques rassurants de la Fed. Au Canada, les FNB ont connu un autre trimestre positif. Les six principales banques canadiennes ont également affiché de solides bénéfices trimestriels, dépassant largement les attentes des analystes. Dans l’ensemble, environ un cinquième des sociétés cotées à la Bourse de Toronto et un tiers des sociétés cotées au S&amp;P 500 ont signalé de bons résultats au cours du trimestre, y compris les plus importants investisseurs du secteur technologique.</w:t>
      </w:r>
      <w:r>
        <w:rPr>
          <w:color w:val="333333"/>
          <w:sz w:val="22"/>
          <w:szCs w:val="22"/>
          <w:shd w:val="clear" w:color="auto" w:fill="FFFFFF"/>
          <w:lang w:val="fr-CA"/>
        </w:rPr>
        <w:br/>
      </w:r>
      <w:r>
        <w:rPr>
          <w:color w:val="333333"/>
          <w:sz w:val="22"/>
          <w:szCs w:val="22"/>
          <w:shd w:val="clear" w:color="auto" w:fill="FFFFFF"/>
          <w:lang w:val="fr-CA"/>
        </w:rPr>
        <w:br/>
        <w:t>Le Jour de la Liberté au Royaume-Uni a eu lieu le 19 juillet et à cette occasion, la réouverture de l’économie a été célébrée. L’évolution au Royaume-Uni a été perçue comme un marqueur principal potentiel pour l’ouverture des autres économies occidentales. Un peu plus tard, le gouvernement fédéral canadien a dévoilé une feuille de route pour la réouverture de ses frontières. Le 9 août, les voyageurs américains vaccinés pouvaient à nouveau traverser la frontière et, depuis le 7 septembre, les voyageurs vaccinés provenant d’autres pays le peuvent également. Un développement monétaire historique s’est également produit au T3 lorsque le Salvador est devenu le premier pays à adopter le bitcoin, la cryptomonnaie la plus populaire, comme monnaie légale.</w:t>
      </w:r>
    </w:p>
    <w:p w14:paraId="3FF9361E" w14:textId="77777777" w:rsidR="00A65E2C" w:rsidRDefault="00C12314">
      <w:pPr>
        <w:rPr>
          <w:color w:val="333333"/>
          <w:sz w:val="22"/>
          <w:szCs w:val="22"/>
          <w:shd w:val="clear" w:color="auto" w:fill="FFFFFF"/>
          <w:lang w:val="fr-FR"/>
        </w:rPr>
      </w:pPr>
      <w:r>
        <w:rPr>
          <w:color w:val="333333"/>
          <w:sz w:val="22"/>
          <w:szCs w:val="22"/>
          <w:shd w:val="clear" w:color="auto" w:fill="FFFFFF"/>
          <w:lang w:val="fr-CA"/>
        </w:rPr>
        <w:br/>
        <w:t>La Fed a laissé les taux d’intérêt américains dans une fourchette proche de zéro, mais a indiqué qu’elle commencerait à réduire progressivement ses achats mensuels de 120 milliards de dollars d’obligations d’État d’ici la fin de l’année. L’inflation américaine, bien que ralentie, a augmenté de 5,3 % par rapport à la même période de l’année dernière, en raison des infections de COVID-19 qui ont eu un impact sur la croissance économique et des pénuries de main-d’œuvre et de fournitures qui en ont résulté et qui ont influé sur les prix. La Fed a réaffirmé qu’elle ne voyait pas la nécessité de hausser les taux dans l’immédiat, car cette récente poussée d’inflation était temporaire. Toutefois, cet événement a indiqué que les taux pourraient commencer à augmenter plus tôt que prévu, peut-être d’ici la fin de 2022.</w:t>
      </w:r>
    </w:p>
    <w:p w14:paraId="569DF53D" w14:textId="77777777" w:rsidR="00A65E2C" w:rsidRDefault="00A65E2C">
      <w:pPr>
        <w:rPr>
          <w:color w:val="333333"/>
          <w:sz w:val="22"/>
          <w:szCs w:val="22"/>
          <w:shd w:val="clear" w:color="auto" w:fill="FFFFFF"/>
          <w:lang w:val="fr-FR"/>
        </w:rPr>
      </w:pPr>
    </w:p>
    <w:p w14:paraId="04D604EC" w14:textId="77777777" w:rsidR="00A65E2C" w:rsidRDefault="00C12314">
      <w:pPr>
        <w:rPr>
          <w:color w:val="333333"/>
          <w:sz w:val="22"/>
          <w:szCs w:val="22"/>
          <w:shd w:val="clear" w:color="auto" w:fill="FFFFFF"/>
          <w:lang w:val="fr-FR"/>
        </w:rPr>
      </w:pPr>
      <w:r>
        <w:rPr>
          <w:color w:val="333333"/>
          <w:sz w:val="22"/>
          <w:szCs w:val="22"/>
          <w:shd w:val="clear" w:color="auto" w:fill="FFFFFF"/>
          <w:lang w:val="fr-CA"/>
        </w:rPr>
        <w:t>La Banque du Canada a également maintenu ses taux d’intérêt à 0,25 % et a souligné qu’elle s’attendait à un renforcement de l’économie au cours du deuxième semestre de l’année. La banque a toutefois prévenu que les goulots d’étranglement dans la chaîne d’approvisionnement et l’augmentation des cas de COVID-19 pourraient ralentir le rythme de la reprise. Elle a poursuivi son programme d’achat d’obligations, mais a réduit ses achats à environ 2 milliards de dollars canadiens par semaine.</w:t>
      </w:r>
      <w:r>
        <w:rPr>
          <w:color w:val="333333"/>
          <w:sz w:val="22"/>
          <w:szCs w:val="22"/>
          <w:shd w:val="clear" w:color="auto" w:fill="FFFFFF"/>
          <w:lang w:val="fr-CA"/>
        </w:rPr>
        <w:br/>
      </w:r>
      <w:r>
        <w:rPr>
          <w:color w:val="333333"/>
          <w:sz w:val="22"/>
          <w:szCs w:val="22"/>
          <w:shd w:val="clear" w:color="auto" w:fill="FFFFFF"/>
          <w:lang w:val="fr-CA"/>
        </w:rPr>
        <w:br/>
        <w:t>L’inflation canadienne a également augmenté. La hausse a été de 4,1 % en août par rapport à l’année précédente, soit la plus forte depuis 2003. La Banque du Canada a régulièrement déclaré qu’elle interviendrait si l’inflation dépassait de façon persistante son objectif de 2 %, mais elle a fait remarquer que le pic actuel de l’inflation était probablement transitoire.</w:t>
      </w:r>
    </w:p>
    <w:p w14:paraId="21878A75" w14:textId="77777777" w:rsidR="00A65E2C" w:rsidRDefault="00A65E2C">
      <w:pPr>
        <w:rPr>
          <w:color w:val="333333"/>
          <w:sz w:val="22"/>
          <w:szCs w:val="22"/>
          <w:shd w:val="clear" w:color="auto" w:fill="FFFFFF"/>
          <w:lang w:val="fr-FR"/>
        </w:rPr>
      </w:pPr>
    </w:p>
    <w:p w14:paraId="67D7713C" w14:textId="77777777" w:rsidR="00A65E2C" w:rsidRDefault="00C12314">
      <w:pPr>
        <w:rPr>
          <w:sz w:val="22"/>
          <w:szCs w:val="22"/>
          <w:lang w:val="fr-FR"/>
        </w:rPr>
      </w:pPr>
      <w:r>
        <w:rPr>
          <w:b/>
          <w:bCs/>
          <w:sz w:val="22"/>
          <w:szCs w:val="22"/>
          <w:lang w:val="fr-CA"/>
        </w:rPr>
        <w:t>Les marchés de capitaux au T3</w:t>
      </w:r>
      <w:r>
        <w:rPr>
          <w:sz w:val="22"/>
          <w:szCs w:val="22"/>
          <w:lang w:val="fr-CA"/>
        </w:rPr>
        <w:br/>
      </w:r>
      <w:r>
        <w:rPr>
          <w:sz w:val="22"/>
          <w:szCs w:val="22"/>
          <w:lang w:val="fr-CA"/>
        </w:rPr>
        <w:br/>
        <w:t xml:space="preserve">L’indice composé S&amp;P/TSX a terminé le trimestre en hausse de 0,17 %, grâce aux secteurs des services </w:t>
      </w:r>
      <w:r>
        <w:rPr>
          <w:sz w:val="22"/>
          <w:szCs w:val="22"/>
          <w:lang w:val="fr-CA"/>
        </w:rPr>
        <w:lastRenderedPageBreak/>
        <w:t>financiers (poids de 31,9 %), de l’énergie (13,1 %) et des technologies de l’information (11,5 %). L’indice S&amp;P 500 a affiché un rendement de 0,58 %, grâce aux secteurs des technologies de l’information (27,6 %), des soins de santé (13,3 %) et des services de communication (11,3 %).</w:t>
      </w:r>
      <w:r>
        <w:rPr>
          <w:color w:val="FF0000"/>
          <w:sz w:val="22"/>
          <w:szCs w:val="22"/>
          <w:lang w:val="fr-CA"/>
        </w:rPr>
        <w:t xml:space="preserve"> </w:t>
      </w:r>
      <w:r>
        <w:rPr>
          <w:sz w:val="22"/>
          <w:szCs w:val="22"/>
          <w:lang w:val="fr-CA"/>
        </w:rPr>
        <w:t>L’indice MSCI EAEO était également en territoire positif avec un rendement de 1,95 %, grâce aux secteurs de la finance (17,2 %), de l’industrie (15,8 %) et des technologies de l’information (9,6 %).</w:t>
      </w:r>
      <w:r>
        <w:rPr>
          <w:sz w:val="22"/>
          <w:szCs w:val="22"/>
          <w:lang w:val="fr-CA"/>
        </w:rPr>
        <w:br/>
      </w:r>
      <w:r>
        <w:rPr>
          <w:sz w:val="22"/>
          <w:szCs w:val="22"/>
          <w:lang w:val="fr-CA"/>
        </w:rPr>
        <w:br/>
        <w:t>Depuis le début de l’année, l’indice composé S&amp;P/TSX a augmenté de 17,5 %, l’indice S&amp;P 500, de 15,9 % et l’indice MSCI EAEO, de 8,2 %.</w:t>
      </w:r>
      <w:r>
        <w:rPr>
          <w:sz w:val="22"/>
          <w:szCs w:val="22"/>
          <w:lang w:val="fr-CA"/>
        </w:rPr>
        <w:br/>
        <w:t>Les marchés des actions américains, canadiens et mondiaux ont commencé le trimestre en force. À la fin d’août, les actions avaient enregistré un septième mois consécutif de gains, l’indice S&amp;P 500 terminant près de son sommet historique et l’indice composite TSX affichant sa plus longue série de gains en quatre ans. Les marchés ont ensuite baissé en raison des inquiétudes liées à l’inflation, au plafond de la dette américaine, à la crise d’Evergrande en Chine et aux spéculations sur la date de début de la réduction des obligations de la Réserve fédérale (Fed) avant de terminer le troisième trimestre près des sommets précédents.</w:t>
      </w:r>
    </w:p>
    <w:p w14:paraId="4F1FF69E" w14:textId="77777777" w:rsidR="00A65E2C" w:rsidRDefault="00C12314">
      <w:pPr>
        <w:pStyle w:val="xmsonormal"/>
        <w:shd w:val="clear" w:color="auto" w:fill="FFFFFF"/>
        <w:rPr>
          <w:sz w:val="22"/>
          <w:szCs w:val="22"/>
          <w:lang w:val="fr-FR"/>
        </w:rPr>
      </w:pPr>
      <w:r>
        <w:rPr>
          <w:sz w:val="22"/>
          <w:szCs w:val="22"/>
          <w:lang w:val="fr-CA"/>
        </w:rPr>
        <w:t>Les marchés à revenu fixe sont restés calmes et les rendements des bons du Trésor sont demeurés stables, grâce aux commentaires rassurant de la Fed sur les plans de réduction progressive d’achats d’obligations, une hausse potentielle des taux l’année prochaine et la nature temporaire de la hausse actuelle de l’inflation. La courbe des rendements du Trésor s’est quelque peu aplatie, les rendements de toutes les obligations du gouvernement américain ayant augmenté, à l’exception de celles dont les termes sont les plus longs.</w:t>
      </w:r>
      <w:r>
        <w:rPr>
          <w:sz w:val="22"/>
          <w:szCs w:val="22"/>
          <w:lang w:val="fr-CA"/>
        </w:rPr>
        <w:br/>
      </w:r>
      <w:r>
        <w:rPr>
          <w:sz w:val="22"/>
          <w:szCs w:val="22"/>
          <w:lang w:val="fr-CA"/>
        </w:rPr>
        <w:br/>
        <w:t>Sur les marchés des changes, le dollar canadien s’est apprécié par rapport au dollar américain et aux autres devises du G10 en raison de la hausse des prix du pétrole et des résultats de l’élection fédérale canadienne. Les prix du pétrole ont bondi en raison de la menace de l’ouragan Nicholas sur côte américaine du golfe du Mexique et de la réduction des stocks de pétrole brut des États-Unis, puis ont diminué lorsque la Russie a dévoilé son intention d’accroître ses exportations. La crise de la dette de l’important promoteur immobilier chinois Evergrande, à la fin du trimestre, a ensuite entraîné une autre hausse des prix du pétrole et des actions du secteur de l’énergie.</w:t>
      </w:r>
      <w:r>
        <w:rPr>
          <w:sz w:val="22"/>
          <w:szCs w:val="22"/>
          <w:lang w:val="fr-CA"/>
        </w:rPr>
        <w:br/>
      </w:r>
      <w:r>
        <w:rPr>
          <w:sz w:val="22"/>
          <w:szCs w:val="22"/>
          <w:lang w:val="fr-CA"/>
        </w:rPr>
        <w:br/>
        <w:t>Plus près de nous, les entrées de FNB canadiens ont dépassé la barre des 4,9 milliards $ CA, et les actifs totaux sont passés à 302 milliards $ CA. Gestion mondiale d’actifs CI a lancé une nouvelle série de cinq FNB à bêta CI qui offre une exposition ciblée à faible coût à de vastes marchés et secteurs, et a ajouté trois FNB à sa gamme existante de FNB Alpha CI. Nous avons également lancé un fonds commun de placement et FNB axé sur le climat, le Fonds chefs de file mondiaux pour le climat CI.</w:t>
      </w:r>
      <w:r>
        <w:rPr>
          <w:sz w:val="22"/>
          <w:szCs w:val="22"/>
          <w:lang w:val="fr-CA"/>
        </w:rPr>
        <w:br/>
      </w:r>
      <w:r>
        <w:rPr>
          <w:sz w:val="22"/>
          <w:szCs w:val="22"/>
          <w:lang w:val="fr-CA"/>
        </w:rPr>
        <w:br/>
      </w:r>
      <w:r>
        <w:rPr>
          <w:b/>
          <w:bCs/>
          <w:sz w:val="22"/>
          <w:szCs w:val="22"/>
          <w:lang w:val="fr-CA"/>
        </w:rPr>
        <w:t>À quoi pouvons-nous nous attendre maintenant?</w:t>
      </w:r>
      <w:r>
        <w:rPr>
          <w:sz w:val="22"/>
          <w:szCs w:val="22"/>
          <w:lang w:val="fr-CA"/>
        </w:rPr>
        <w:br/>
      </w:r>
      <w:r>
        <w:rPr>
          <w:sz w:val="22"/>
          <w:szCs w:val="22"/>
          <w:lang w:val="fr-CA"/>
        </w:rPr>
        <w:br/>
        <w:t>Les politiques monétaires accommodantes des grandes banques centrales commencent à être réduites, donc il est normal que nous voyions une certaine volatilité alors que les conditions du marché changent. Le rythme de la croissance sera probablement ralenti, ce qui toutefois compréhensible puisque nous venons de terminer une année record sur le plan du rendement. Dans l’ensemble, les perspectives restent positives grâce à la solidité des fondamentaux économiques et aux bénéfices des entreprises.</w:t>
      </w:r>
      <w:r>
        <w:rPr>
          <w:sz w:val="22"/>
          <w:szCs w:val="22"/>
          <w:lang w:val="fr-CA"/>
        </w:rPr>
        <w:br/>
      </w:r>
      <w:r>
        <w:rPr>
          <w:sz w:val="22"/>
          <w:szCs w:val="22"/>
          <w:lang w:val="fr-CA"/>
        </w:rPr>
        <w:br/>
        <w:t xml:space="preserve">Quelle que soit la position que nous occupons dans le cycle du marché, il est important d’adopter une approche disciplinée de l’investissement et de rester concentré sur vos objectifs financiers à long terme. Cette stratégie vous permet de ne pas vous laisser influencer par vos émotions en matière d’investissement - généralement en achetant à prix élevé et en vendant à prix bas, comme le font de nombreux investisseurs. </w:t>
      </w:r>
      <w:r>
        <w:rPr>
          <w:sz w:val="22"/>
          <w:szCs w:val="22"/>
          <w:lang w:val="fr-CA"/>
        </w:rPr>
        <w:br/>
      </w:r>
      <w:r>
        <w:rPr>
          <w:sz w:val="22"/>
          <w:szCs w:val="22"/>
          <w:lang w:val="fr-CA"/>
        </w:rPr>
        <w:br/>
      </w:r>
      <w:r>
        <w:rPr>
          <w:sz w:val="22"/>
          <w:szCs w:val="22"/>
          <w:lang w:val="fr-CA"/>
        </w:rPr>
        <w:lastRenderedPageBreak/>
        <w:t>Nous recommandons que vous mainteniez une combinaison diversifiée de catégories d’actifs dans votre portefeuille afin de maximiser les rendements potentiels et de minimiser les risques. Le fait de revoir et de rééquilibrer régulièrement votre portefeuille en fonction de la répartition cible des actifs que nous avons créée permet également de s’assurer qu’il reste aligné sur vos objectifs.</w:t>
      </w:r>
      <w:r>
        <w:rPr>
          <w:sz w:val="22"/>
          <w:szCs w:val="22"/>
          <w:lang w:val="fr-CA"/>
        </w:rPr>
        <w:br/>
      </w:r>
      <w:r>
        <w:rPr>
          <w:sz w:val="22"/>
          <w:szCs w:val="22"/>
          <w:lang w:val="fr-CA"/>
        </w:rPr>
        <w:br/>
        <w:t>Je vous remercie de la confiance que vous nous accordez, à moi et à mon équipe, et de l’occasion qui m’est donnée de vous aider à atteindre vos objectifs financiers. Nous vous accompagnons à chaque étape de votre parcours d’investissement, en identifiant les stratégies et les occasions, en examinant les rendements et en rééquilibrant votre portefeuille pour vous aider à rester sur la bonne voie. Si vous avez des questions concernant votre portefeuille, n’hésitez pas à communiquer avec mon bureau.</w:t>
      </w:r>
      <w:r>
        <w:rPr>
          <w:lang w:val="fr-CA"/>
        </w:rPr>
        <w:br/>
      </w:r>
      <w:r>
        <w:rPr>
          <w:lang w:val="fr-CA"/>
        </w:rPr>
        <w:br/>
      </w:r>
      <w:r>
        <w:rPr>
          <w:i/>
          <w:iCs/>
          <w:sz w:val="22"/>
          <w:szCs w:val="22"/>
          <w:lang w:val="fr-CA"/>
        </w:rPr>
        <w:t>Les renseignements contenus dans cette lettre proviennent de diverses sources, dont Gestion mondiale d’actifs CI, le Globe and Mail, le National Post, le Wall Street Journal, MarketWatch, Bloomberg, Reuters, Investment Executive, la Banque du Canada et Statistique Canada, à diverses dates. Ce document est fourni à titre de renseignement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p>
    <w:sectPr w:rsidR="00A65E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24433"/>
    <w:multiLevelType w:val="hybridMultilevel"/>
    <w:tmpl w:val="4648A43C"/>
    <w:lvl w:ilvl="0" w:tplc="313650AC">
      <w:start w:val="1"/>
      <w:numFmt w:val="bullet"/>
      <w:lvlText w:val=""/>
      <w:lvlJc w:val="left"/>
      <w:pPr>
        <w:ind w:left="360" w:hanging="360"/>
      </w:pPr>
      <w:rPr>
        <w:rFonts w:ascii="Symbol" w:hAnsi="Symbol" w:hint="default"/>
      </w:rPr>
    </w:lvl>
    <w:lvl w:ilvl="1" w:tplc="3CF279E6" w:tentative="1">
      <w:start w:val="1"/>
      <w:numFmt w:val="bullet"/>
      <w:lvlText w:val="o"/>
      <w:lvlJc w:val="left"/>
      <w:pPr>
        <w:ind w:left="1080" w:hanging="360"/>
      </w:pPr>
      <w:rPr>
        <w:rFonts w:ascii="Courier New" w:hAnsi="Courier New" w:cs="Courier New" w:hint="default"/>
      </w:rPr>
    </w:lvl>
    <w:lvl w:ilvl="2" w:tplc="CBAC06CA" w:tentative="1">
      <w:start w:val="1"/>
      <w:numFmt w:val="bullet"/>
      <w:lvlText w:val=""/>
      <w:lvlJc w:val="left"/>
      <w:pPr>
        <w:ind w:left="1800" w:hanging="360"/>
      </w:pPr>
      <w:rPr>
        <w:rFonts w:ascii="Wingdings" w:hAnsi="Wingdings" w:hint="default"/>
      </w:rPr>
    </w:lvl>
    <w:lvl w:ilvl="3" w:tplc="B87E4D6A" w:tentative="1">
      <w:start w:val="1"/>
      <w:numFmt w:val="bullet"/>
      <w:lvlText w:val=""/>
      <w:lvlJc w:val="left"/>
      <w:pPr>
        <w:ind w:left="2520" w:hanging="360"/>
      </w:pPr>
      <w:rPr>
        <w:rFonts w:ascii="Symbol" w:hAnsi="Symbol" w:hint="default"/>
      </w:rPr>
    </w:lvl>
    <w:lvl w:ilvl="4" w:tplc="2E1EA4E2" w:tentative="1">
      <w:start w:val="1"/>
      <w:numFmt w:val="bullet"/>
      <w:lvlText w:val="o"/>
      <w:lvlJc w:val="left"/>
      <w:pPr>
        <w:ind w:left="3240" w:hanging="360"/>
      </w:pPr>
      <w:rPr>
        <w:rFonts w:ascii="Courier New" w:hAnsi="Courier New" w:cs="Courier New" w:hint="default"/>
      </w:rPr>
    </w:lvl>
    <w:lvl w:ilvl="5" w:tplc="13E6A160" w:tentative="1">
      <w:start w:val="1"/>
      <w:numFmt w:val="bullet"/>
      <w:lvlText w:val=""/>
      <w:lvlJc w:val="left"/>
      <w:pPr>
        <w:ind w:left="3960" w:hanging="360"/>
      </w:pPr>
      <w:rPr>
        <w:rFonts w:ascii="Wingdings" w:hAnsi="Wingdings" w:hint="default"/>
      </w:rPr>
    </w:lvl>
    <w:lvl w:ilvl="6" w:tplc="879CDC2A" w:tentative="1">
      <w:start w:val="1"/>
      <w:numFmt w:val="bullet"/>
      <w:lvlText w:val=""/>
      <w:lvlJc w:val="left"/>
      <w:pPr>
        <w:ind w:left="4680" w:hanging="360"/>
      </w:pPr>
      <w:rPr>
        <w:rFonts w:ascii="Symbol" w:hAnsi="Symbol" w:hint="default"/>
      </w:rPr>
    </w:lvl>
    <w:lvl w:ilvl="7" w:tplc="DC6489EA" w:tentative="1">
      <w:start w:val="1"/>
      <w:numFmt w:val="bullet"/>
      <w:lvlText w:val="o"/>
      <w:lvlJc w:val="left"/>
      <w:pPr>
        <w:ind w:left="5400" w:hanging="360"/>
      </w:pPr>
      <w:rPr>
        <w:rFonts w:ascii="Courier New" w:hAnsi="Courier New" w:cs="Courier New" w:hint="default"/>
      </w:rPr>
    </w:lvl>
    <w:lvl w:ilvl="8" w:tplc="4D4CD7FE"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2C"/>
    <w:rsid w:val="00A65E2C"/>
    <w:rsid w:val="00C12314"/>
    <w:rsid w:val="00F3002B"/>
    <w:rsid w:val="00F302EC"/>
  </w:rsids>
  <m:mathPr>
    <m:mathFont m:val="Cambria Math"/>
    <m:brkBin m:val="before"/>
    <m:brkBinSub m:val="--"/>
    <m:smallFrac/>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AD9D"/>
  <w15:docId w15:val="{28497ABE-2E4D-4636-862D-A662D9B3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xmsonormal">
    <w:name w:val="x_msonormal"/>
    <w:basedOn w:val="Normal"/>
    <w:pPr>
      <w:spacing w:before="100" w:beforeAutospacing="1" w:after="100" w:afterAutospacing="1"/>
    </w:pPr>
    <w:rPr>
      <w:lang w:val="en-US"/>
    </w:rPr>
  </w:style>
  <w:style w:type="paragraph" w:customStyle="1" w:styleId="Default">
    <w:name w:val="Default"/>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CA0100569 LP16</dc:title>
  <dc:creator>Microsoft Office User</dc:creator>
  <cp:lastModifiedBy>Damji, Aly</cp:lastModifiedBy>
  <cp:revision>2</cp:revision>
  <dcterms:created xsi:type="dcterms:W3CDTF">2021-10-14T14:35:00Z</dcterms:created>
  <dcterms:modified xsi:type="dcterms:W3CDTF">2021-10-14T14:35:00Z</dcterms:modified>
</cp:coreProperties>
</file>